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42A496" w14:textId="715CA06A" w:rsidR="002B4F4A" w:rsidRDefault="00CC6142" w:rsidP="00721D02">
      <w:pPr>
        <w:spacing w:after="0"/>
        <w:jc w:val="center"/>
        <w:rPr>
          <w:rFonts w:ascii="Verdana" w:hAnsi="Verdana"/>
          <w:b/>
          <w:bCs/>
          <w:sz w:val="20"/>
          <w:szCs w:val="20"/>
        </w:rPr>
      </w:pPr>
      <w:r w:rsidRPr="00A41E5E">
        <w:rPr>
          <w:rFonts w:ascii="Verdana" w:hAnsi="Verdana"/>
          <w:b/>
          <w:bCs/>
          <w:sz w:val="20"/>
          <w:szCs w:val="20"/>
        </w:rPr>
        <w:t>PARTE</w:t>
      </w:r>
      <w:r w:rsidR="00A41E5E" w:rsidRPr="00A41E5E">
        <w:rPr>
          <w:rFonts w:ascii="Verdana" w:hAnsi="Verdana"/>
          <w:b/>
          <w:bCs/>
          <w:sz w:val="20"/>
          <w:szCs w:val="20"/>
        </w:rPr>
        <w:t xml:space="preserve"> </w:t>
      </w:r>
      <w:r w:rsidR="008D31EC">
        <w:rPr>
          <w:rFonts w:ascii="Verdana" w:hAnsi="Verdana"/>
          <w:b/>
          <w:bCs/>
          <w:sz w:val="20"/>
          <w:szCs w:val="20"/>
        </w:rPr>
        <w:t>2</w:t>
      </w:r>
    </w:p>
    <w:p w14:paraId="653B0E2A" w14:textId="7BABE9A0" w:rsidR="00CC655A" w:rsidRDefault="00CC655A" w:rsidP="00CC655A">
      <w:pPr>
        <w:spacing w:after="0"/>
        <w:jc w:val="center"/>
        <w:rPr>
          <w:rFonts w:ascii="Verdana" w:hAnsi="Verdana"/>
          <w:b/>
          <w:bCs/>
          <w:sz w:val="20"/>
          <w:szCs w:val="20"/>
        </w:rPr>
      </w:pPr>
      <w:r w:rsidRPr="3BF1C58A">
        <w:rPr>
          <w:rFonts w:ascii="Verdana" w:hAnsi="Verdana"/>
          <w:b/>
          <w:bCs/>
          <w:sz w:val="20"/>
          <w:szCs w:val="20"/>
        </w:rPr>
        <w:t>CONTROLES DE LEY Y ASUNTOS PRUDENCIALES</w:t>
      </w:r>
    </w:p>
    <w:p w14:paraId="1BF07C81" w14:textId="77777777" w:rsidR="00721D02" w:rsidRDefault="00721D02" w:rsidP="00721D02">
      <w:pPr>
        <w:spacing w:after="0"/>
        <w:jc w:val="center"/>
        <w:rPr>
          <w:rFonts w:ascii="Verdana" w:hAnsi="Verdana"/>
          <w:b/>
          <w:bCs/>
          <w:sz w:val="20"/>
          <w:szCs w:val="20"/>
        </w:rPr>
      </w:pPr>
    </w:p>
    <w:p w14:paraId="438B98D3" w14:textId="4E33EF78" w:rsidR="00A41E5E" w:rsidRDefault="00A41E5E" w:rsidP="00721D02">
      <w:pPr>
        <w:spacing w:after="0"/>
        <w:jc w:val="center"/>
        <w:rPr>
          <w:rFonts w:ascii="Verdana" w:hAnsi="Verdana"/>
          <w:b/>
          <w:bCs/>
          <w:sz w:val="20"/>
          <w:szCs w:val="20"/>
        </w:rPr>
      </w:pPr>
      <w:r>
        <w:rPr>
          <w:rFonts w:ascii="Verdana" w:hAnsi="Verdana"/>
          <w:b/>
          <w:bCs/>
          <w:sz w:val="20"/>
          <w:szCs w:val="20"/>
        </w:rPr>
        <w:t xml:space="preserve">CAPÍTULO </w:t>
      </w:r>
      <w:r w:rsidR="00A22892">
        <w:rPr>
          <w:rFonts w:ascii="Verdana" w:hAnsi="Verdana"/>
          <w:b/>
          <w:bCs/>
          <w:sz w:val="20"/>
          <w:szCs w:val="20"/>
        </w:rPr>
        <w:t>8</w:t>
      </w:r>
    </w:p>
    <w:p w14:paraId="3F9900A3" w14:textId="43C6122A" w:rsidR="00DA0C0E" w:rsidRDefault="00963737" w:rsidP="00721D02">
      <w:pPr>
        <w:spacing w:after="0"/>
        <w:jc w:val="center"/>
        <w:rPr>
          <w:rFonts w:ascii="Verdana" w:hAnsi="Verdana"/>
          <w:b/>
          <w:bCs/>
          <w:sz w:val="20"/>
          <w:szCs w:val="20"/>
        </w:rPr>
      </w:pPr>
      <w:r w:rsidRPr="3BF1C58A">
        <w:rPr>
          <w:rFonts w:ascii="Verdana" w:hAnsi="Verdana"/>
          <w:b/>
          <w:bCs/>
          <w:sz w:val="20"/>
          <w:szCs w:val="20"/>
        </w:rPr>
        <w:t>CUMPLIMIENTO DE NORMAS DEL BANCO DE LA REPÚBLICA</w:t>
      </w:r>
    </w:p>
    <w:p w14:paraId="3AEDBD8A" w14:textId="77777777" w:rsidR="00721D02" w:rsidRDefault="00721D02" w:rsidP="00721D02">
      <w:pPr>
        <w:spacing w:after="0"/>
        <w:jc w:val="center"/>
        <w:rPr>
          <w:rFonts w:ascii="Verdana" w:hAnsi="Verdana"/>
          <w:b/>
          <w:bCs/>
          <w:sz w:val="20"/>
          <w:szCs w:val="20"/>
        </w:rPr>
      </w:pPr>
    </w:p>
    <w:p w14:paraId="5A25184E" w14:textId="74849118" w:rsidR="00DA0C0E" w:rsidRDefault="00DA0C0E" w:rsidP="00721D02">
      <w:pPr>
        <w:spacing w:after="0"/>
        <w:jc w:val="center"/>
        <w:rPr>
          <w:rFonts w:ascii="Verdana" w:hAnsi="Verdana"/>
          <w:b/>
          <w:bCs/>
          <w:sz w:val="20"/>
          <w:szCs w:val="20"/>
        </w:rPr>
      </w:pPr>
      <w:r>
        <w:rPr>
          <w:rFonts w:ascii="Verdana" w:hAnsi="Verdana"/>
          <w:b/>
          <w:bCs/>
          <w:sz w:val="20"/>
          <w:szCs w:val="20"/>
        </w:rPr>
        <w:t xml:space="preserve">SECCIÓN </w:t>
      </w:r>
      <w:r w:rsidR="00963737">
        <w:rPr>
          <w:rFonts w:ascii="Verdana" w:hAnsi="Verdana"/>
          <w:b/>
          <w:bCs/>
          <w:sz w:val="20"/>
          <w:szCs w:val="20"/>
        </w:rPr>
        <w:t>2</w:t>
      </w:r>
    </w:p>
    <w:p w14:paraId="5C223E21" w14:textId="6811334F" w:rsidR="00DA0C0E" w:rsidRDefault="00ED59E9" w:rsidP="00721D02">
      <w:pPr>
        <w:spacing w:after="0"/>
        <w:jc w:val="center"/>
        <w:rPr>
          <w:rFonts w:ascii="Verdana" w:hAnsi="Verdana"/>
          <w:b/>
          <w:bCs/>
          <w:sz w:val="20"/>
          <w:szCs w:val="20"/>
        </w:rPr>
      </w:pPr>
      <w:r w:rsidRPr="3BF1C58A">
        <w:rPr>
          <w:rFonts w:ascii="Verdana" w:hAnsi="Verdana"/>
          <w:b/>
          <w:bCs/>
          <w:sz w:val="20"/>
          <w:szCs w:val="20"/>
        </w:rPr>
        <w:t>POSICIÓN PROPIA, POSICIÓN PROPIA DE CONTADO, POSICIÓN BRUTA DE APALANCAMIENTO, POSICIÓN DE INVERSIONES CONTROLADAS EN EL EXTERIOR, INDICADORES DE RIESGO CAMBIARIO E INDICADORES DE EXPOSICIÓN DE CORTO PLAZO</w:t>
      </w:r>
    </w:p>
    <w:p w14:paraId="34FD7863" w14:textId="77777777" w:rsidR="009D6127" w:rsidRPr="00C238CB" w:rsidRDefault="009D6127" w:rsidP="009D6127">
      <w:pPr>
        <w:rPr>
          <w:rFonts w:ascii="Verdana" w:hAnsi="Verdana"/>
          <w:b/>
          <w:bCs/>
          <w:color w:val="000000" w:themeColor="text1"/>
          <w:sz w:val="20"/>
          <w:szCs w:val="20"/>
        </w:rPr>
      </w:pPr>
    </w:p>
    <w:p w14:paraId="71FB2043" w14:textId="02D37776" w:rsidR="00324191" w:rsidRDefault="00FA59FB" w:rsidP="00FA59FB">
      <w:pPr>
        <w:autoSpaceDE w:val="0"/>
        <w:autoSpaceDN w:val="0"/>
        <w:spacing w:after="0" w:line="240" w:lineRule="auto"/>
        <w:jc w:val="both"/>
        <w:textAlignment w:val="baseline"/>
        <w:rPr>
          <w:rFonts w:ascii="Verdana" w:eastAsia="Times New Roman" w:hAnsi="Verdana" w:cs="Arial"/>
          <w:color w:val="000000" w:themeColor="text1"/>
          <w:kern w:val="0"/>
          <w:sz w:val="20"/>
          <w:szCs w:val="20"/>
          <w:lang w:eastAsia="es-CO"/>
          <w14:ligatures w14:val="none"/>
        </w:rPr>
      </w:pPr>
      <w:r w:rsidRPr="0019184F">
        <w:rPr>
          <w:rFonts w:ascii="Verdana" w:eastAsia="Times New Roman" w:hAnsi="Verdana" w:cs="Arial"/>
          <w:b/>
          <w:bCs/>
          <w:color w:val="000000" w:themeColor="text1"/>
          <w:kern w:val="0"/>
          <w:sz w:val="20"/>
          <w:szCs w:val="20"/>
          <w:lang w:val="es-ES" w:eastAsia="es-CO"/>
          <w14:ligatures w14:val="none"/>
        </w:rPr>
        <w:t>ÁMBITO DE APLICACIÓN</w:t>
      </w:r>
    </w:p>
    <w:p w14:paraId="31F799C9" w14:textId="77777777" w:rsidR="00FA59FB" w:rsidRPr="00FA59FB" w:rsidRDefault="00FA59FB" w:rsidP="00FA59FB">
      <w:pPr>
        <w:autoSpaceDE w:val="0"/>
        <w:autoSpaceDN w:val="0"/>
        <w:spacing w:after="0" w:line="240" w:lineRule="auto"/>
        <w:jc w:val="both"/>
        <w:textAlignment w:val="baseline"/>
        <w:rPr>
          <w:rFonts w:ascii="Verdana" w:eastAsia="Times New Roman" w:hAnsi="Verdana" w:cs="Arial"/>
          <w:color w:val="000000" w:themeColor="text1"/>
          <w:kern w:val="0"/>
          <w:sz w:val="20"/>
          <w:szCs w:val="20"/>
          <w:lang w:eastAsia="es-CO"/>
          <w14:ligatures w14:val="none"/>
        </w:rPr>
      </w:pPr>
    </w:p>
    <w:p w14:paraId="27736B3F" w14:textId="114623AC" w:rsidR="00324191" w:rsidRPr="00BF0C57" w:rsidRDefault="00324191" w:rsidP="00324191">
      <w:pPr>
        <w:spacing w:after="0"/>
        <w:rPr>
          <w:rFonts w:ascii="Verdana" w:hAnsi="Verdana"/>
          <w:sz w:val="20"/>
          <w:szCs w:val="20"/>
        </w:rPr>
      </w:pPr>
      <w:r>
        <w:rPr>
          <w:rFonts w:ascii="Verdana" w:hAnsi="Verdana"/>
          <w:sz w:val="20"/>
          <w:szCs w:val="20"/>
        </w:rPr>
        <w:t>2</w:t>
      </w:r>
      <w:r w:rsidRPr="00BF0C57">
        <w:rPr>
          <w:rFonts w:ascii="Verdana" w:hAnsi="Verdana"/>
          <w:sz w:val="20"/>
          <w:szCs w:val="20"/>
        </w:rPr>
        <w:t>.</w:t>
      </w:r>
      <w:r>
        <w:rPr>
          <w:rFonts w:ascii="Verdana" w:hAnsi="Verdana"/>
          <w:sz w:val="20"/>
          <w:szCs w:val="20"/>
        </w:rPr>
        <w:t>8</w:t>
      </w:r>
      <w:r w:rsidRPr="00BF0C57">
        <w:rPr>
          <w:rFonts w:ascii="Verdana" w:hAnsi="Verdana"/>
          <w:sz w:val="20"/>
          <w:szCs w:val="20"/>
        </w:rPr>
        <w:t>.</w:t>
      </w:r>
      <w:r w:rsidR="001F6901">
        <w:rPr>
          <w:rFonts w:ascii="Verdana" w:hAnsi="Verdana"/>
          <w:sz w:val="20"/>
          <w:szCs w:val="20"/>
        </w:rPr>
        <w:t>2</w:t>
      </w:r>
      <w:r w:rsidRPr="00BF0C57">
        <w:rPr>
          <w:rFonts w:ascii="Verdana" w:hAnsi="Verdana"/>
          <w:sz w:val="20"/>
          <w:szCs w:val="20"/>
        </w:rPr>
        <w:t>.</w:t>
      </w:r>
      <w:r>
        <w:rPr>
          <w:rFonts w:ascii="Verdana" w:hAnsi="Verdana"/>
          <w:sz w:val="20"/>
          <w:szCs w:val="20"/>
        </w:rPr>
        <w:t>1</w:t>
      </w:r>
    </w:p>
    <w:p w14:paraId="3D4779C7" w14:textId="4B7E6E86" w:rsidR="0019184F" w:rsidRPr="0019184F" w:rsidRDefault="0019184F" w:rsidP="00402C24">
      <w:pPr>
        <w:spacing w:after="0"/>
        <w:jc w:val="both"/>
        <w:rPr>
          <w:rFonts w:ascii="Verdana" w:hAnsi="Verdana"/>
          <w:sz w:val="20"/>
          <w:szCs w:val="20"/>
        </w:rPr>
      </w:pPr>
      <w:r w:rsidRPr="0019184F">
        <w:rPr>
          <w:rFonts w:ascii="Verdana" w:hAnsi="Verdana"/>
          <w:sz w:val="20"/>
          <w:szCs w:val="20"/>
        </w:rPr>
        <w:t xml:space="preserve">Las instrucciones del presente </w:t>
      </w:r>
      <w:r w:rsidR="00BF1C25">
        <w:rPr>
          <w:rFonts w:ascii="Verdana" w:hAnsi="Verdana"/>
          <w:sz w:val="20"/>
          <w:szCs w:val="20"/>
        </w:rPr>
        <w:t>c</w:t>
      </w:r>
      <w:r w:rsidRPr="0019184F">
        <w:rPr>
          <w:rFonts w:ascii="Verdana" w:hAnsi="Verdana"/>
          <w:sz w:val="20"/>
          <w:szCs w:val="20"/>
        </w:rPr>
        <w:t>apítulo son aplicables a las entidades vigiladas obligadas a dar cumplimiento a las disposiciones de la Resolución Externa No. 1 de 2018 y la Circular Reglamentaria Externa DODM-398, expedidas por el Banco de la República, en relación con la posición propia, posición propia de contado y la posición bruta de apalancamiento, la posición de inversiones controladas en el exterior, los indicadores de riesgo cambiario y los indicadores de exposición de corto plazo.</w:t>
      </w:r>
    </w:p>
    <w:p w14:paraId="5CF49500" w14:textId="77777777" w:rsidR="00F3356D" w:rsidRDefault="00F3356D" w:rsidP="00402C24">
      <w:pPr>
        <w:tabs>
          <w:tab w:val="num" w:pos="567"/>
        </w:tabs>
        <w:spacing w:after="0"/>
        <w:jc w:val="both"/>
        <w:rPr>
          <w:rFonts w:ascii="Verdana" w:hAnsi="Verdana"/>
          <w:sz w:val="20"/>
          <w:szCs w:val="20"/>
        </w:rPr>
      </w:pPr>
    </w:p>
    <w:p w14:paraId="7A178A5A" w14:textId="147C0CCC" w:rsidR="0019184F" w:rsidRPr="0019184F" w:rsidRDefault="00FA59FB" w:rsidP="00402C24">
      <w:pPr>
        <w:tabs>
          <w:tab w:val="num" w:pos="567"/>
        </w:tabs>
        <w:spacing w:after="0"/>
        <w:jc w:val="both"/>
        <w:rPr>
          <w:rFonts w:ascii="Verdana" w:hAnsi="Verdana"/>
          <w:b/>
          <w:bCs/>
          <w:sz w:val="20"/>
          <w:szCs w:val="20"/>
        </w:rPr>
      </w:pPr>
      <w:r w:rsidRPr="0019184F">
        <w:rPr>
          <w:rFonts w:ascii="Verdana" w:hAnsi="Verdana"/>
          <w:b/>
          <w:bCs/>
          <w:sz w:val="20"/>
          <w:szCs w:val="20"/>
        </w:rPr>
        <w:t>RÉGIMEN APLICABLE</w:t>
      </w:r>
    </w:p>
    <w:p w14:paraId="74238E56" w14:textId="77777777" w:rsidR="0019184F" w:rsidRDefault="0019184F" w:rsidP="00402C24">
      <w:pPr>
        <w:spacing w:after="0"/>
        <w:jc w:val="both"/>
        <w:rPr>
          <w:rFonts w:ascii="Verdana" w:hAnsi="Verdana"/>
          <w:sz w:val="20"/>
          <w:szCs w:val="20"/>
        </w:rPr>
      </w:pPr>
    </w:p>
    <w:p w14:paraId="6BF4B71D" w14:textId="4A32C1A9" w:rsidR="001F6901" w:rsidRPr="00BF0C57" w:rsidRDefault="001F6901" w:rsidP="001F6901">
      <w:pPr>
        <w:spacing w:after="0"/>
        <w:rPr>
          <w:rFonts w:ascii="Verdana" w:hAnsi="Verdana"/>
          <w:sz w:val="20"/>
          <w:szCs w:val="20"/>
        </w:rPr>
      </w:pPr>
      <w:r>
        <w:rPr>
          <w:rFonts w:ascii="Verdana" w:hAnsi="Verdana"/>
          <w:sz w:val="20"/>
          <w:szCs w:val="20"/>
        </w:rPr>
        <w:t>2</w:t>
      </w:r>
      <w:r w:rsidRPr="00BF0C57">
        <w:rPr>
          <w:rFonts w:ascii="Verdana" w:hAnsi="Verdana"/>
          <w:sz w:val="20"/>
          <w:szCs w:val="20"/>
        </w:rPr>
        <w:t>.</w:t>
      </w:r>
      <w:r>
        <w:rPr>
          <w:rFonts w:ascii="Verdana" w:hAnsi="Verdana"/>
          <w:sz w:val="20"/>
          <w:szCs w:val="20"/>
        </w:rPr>
        <w:t>8</w:t>
      </w:r>
      <w:r w:rsidRPr="00BF0C57">
        <w:rPr>
          <w:rFonts w:ascii="Verdana" w:hAnsi="Verdana"/>
          <w:sz w:val="20"/>
          <w:szCs w:val="20"/>
        </w:rPr>
        <w:t>.</w:t>
      </w:r>
      <w:r>
        <w:rPr>
          <w:rFonts w:ascii="Verdana" w:hAnsi="Verdana"/>
          <w:sz w:val="20"/>
          <w:szCs w:val="20"/>
        </w:rPr>
        <w:t>2</w:t>
      </w:r>
      <w:r w:rsidRPr="00BF0C57">
        <w:rPr>
          <w:rFonts w:ascii="Verdana" w:hAnsi="Verdana"/>
          <w:sz w:val="20"/>
          <w:szCs w:val="20"/>
        </w:rPr>
        <w:t>.</w:t>
      </w:r>
      <w:r>
        <w:rPr>
          <w:rFonts w:ascii="Verdana" w:hAnsi="Verdana"/>
          <w:sz w:val="20"/>
          <w:szCs w:val="20"/>
        </w:rPr>
        <w:t>2</w:t>
      </w:r>
    </w:p>
    <w:p w14:paraId="2AF27371" w14:textId="61B3295F" w:rsidR="0019184F" w:rsidRDefault="00ED4FA7" w:rsidP="00402C24">
      <w:pPr>
        <w:spacing w:after="0"/>
        <w:jc w:val="both"/>
        <w:rPr>
          <w:rFonts w:ascii="Verdana" w:hAnsi="Verdana"/>
          <w:sz w:val="20"/>
          <w:szCs w:val="20"/>
        </w:rPr>
      </w:pPr>
      <w:r w:rsidRPr="00ED4FA7">
        <w:rPr>
          <w:rFonts w:ascii="Verdana" w:hAnsi="Verdana"/>
          <w:sz w:val="20"/>
          <w:szCs w:val="20"/>
        </w:rPr>
        <w:t>El cálculo, control, límite y demás aspectos de la posición propia, posición propia de contado y la posición bruta de apalancamiento, según corresponda, se rige por lo dispuesto en la Resolución Externa No. 1 de 2018 y la Circular Reglamentaria Externa DODM-398, expedidas por el Banco de la República. De conformidad con el inciso segundo del artículo 17, el artículo 26 y el artículo 34 de la Resolución Externa No. 1 de 2018, el reporte de la información relacionada con la posición propia, posición propia de contado y la posición bruta de apalancamiento, así como con la posición de inversiones controladas en el exterior, los indicadores de riesgo cambiario y los indicadores de exposición de corto plazo, se realizará en los términos que define la SFC</w:t>
      </w:r>
      <w:r w:rsidR="00691C2C">
        <w:rPr>
          <w:rFonts w:ascii="Verdana" w:hAnsi="Verdana"/>
          <w:sz w:val="20"/>
          <w:szCs w:val="20"/>
        </w:rPr>
        <w:t xml:space="preserve"> en los formatos o demás instrumentos aplicables</w:t>
      </w:r>
      <w:r w:rsidRPr="00ED4FA7">
        <w:rPr>
          <w:rFonts w:ascii="Verdana" w:hAnsi="Verdana"/>
          <w:sz w:val="20"/>
          <w:szCs w:val="20"/>
        </w:rPr>
        <w:t>.</w:t>
      </w:r>
    </w:p>
    <w:p w14:paraId="51724B93" w14:textId="77777777" w:rsidR="00ED4FA7" w:rsidRPr="0019184F" w:rsidRDefault="00ED4FA7" w:rsidP="00402C24">
      <w:pPr>
        <w:spacing w:after="0"/>
        <w:jc w:val="both"/>
        <w:rPr>
          <w:rFonts w:ascii="Verdana" w:hAnsi="Verdana"/>
          <w:sz w:val="20"/>
          <w:szCs w:val="20"/>
        </w:rPr>
      </w:pPr>
    </w:p>
    <w:p w14:paraId="32437CEF" w14:textId="6601A744" w:rsidR="0019184F" w:rsidRPr="0019184F" w:rsidRDefault="007267D9" w:rsidP="00402C24">
      <w:pPr>
        <w:spacing w:after="0"/>
        <w:jc w:val="both"/>
        <w:rPr>
          <w:rFonts w:ascii="Verdana" w:hAnsi="Verdana"/>
          <w:b/>
          <w:bCs/>
          <w:sz w:val="20"/>
          <w:szCs w:val="20"/>
        </w:rPr>
      </w:pPr>
      <w:r>
        <w:rPr>
          <w:rFonts w:ascii="Verdana" w:hAnsi="Verdana"/>
          <w:b/>
          <w:bCs/>
          <w:sz w:val="20"/>
          <w:szCs w:val="20"/>
        </w:rPr>
        <w:t>C</w:t>
      </w:r>
      <w:r w:rsidRPr="0019184F">
        <w:rPr>
          <w:rFonts w:ascii="Verdana" w:hAnsi="Verdana"/>
          <w:b/>
          <w:bCs/>
          <w:sz w:val="20"/>
          <w:szCs w:val="20"/>
        </w:rPr>
        <w:t>álculo de los montos a incluir en la posición propia en el caso de las opciones peso–divisa y divisa–divisa</w:t>
      </w:r>
    </w:p>
    <w:p w14:paraId="621CB038" w14:textId="77777777" w:rsidR="0019184F" w:rsidRPr="0019184F" w:rsidRDefault="0019184F" w:rsidP="00402C24">
      <w:pPr>
        <w:spacing w:after="0"/>
        <w:jc w:val="both"/>
        <w:rPr>
          <w:rFonts w:ascii="Verdana" w:hAnsi="Verdana"/>
          <w:sz w:val="20"/>
          <w:szCs w:val="20"/>
        </w:rPr>
      </w:pPr>
    </w:p>
    <w:p w14:paraId="64A7D8A4" w14:textId="322187A6" w:rsidR="007267D9" w:rsidRPr="00BF0C57" w:rsidRDefault="007267D9" w:rsidP="007267D9">
      <w:pPr>
        <w:spacing w:after="0"/>
        <w:rPr>
          <w:rFonts w:ascii="Verdana" w:hAnsi="Verdana"/>
          <w:sz w:val="20"/>
          <w:szCs w:val="20"/>
        </w:rPr>
      </w:pPr>
      <w:r>
        <w:rPr>
          <w:rFonts w:ascii="Verdana" w:hAnsi="Verdana"/>
          <w:sz w:val="20"/>
          <w:szCs w:val="20"/>
        </w:rPr>
        <w:t>2</w:t>
      </w:r>
      <w:r w:rsidRPr="00BF0C57">
        <w:rPr>
          <w:rFonts w:ascii="Verdana" w:hAnsi="Verdana"/>
          <w:sz w:val="20"/>
          <w:szCs w:val="20"/>
        </w:rPr>
        <w:t>.</w:t>
      </w:r>
      <w:r>
        <w:rPr>
          <w:rFonts w:ascii="Verdana" w:hAnsi="Verdana"/>
          <w:sz w:val="20"/>
          <w:szCs w:val="20"/>
        </w:rPr>
        <w:t>8</w:t>
      </w:r>
      <w:r w:rsidRPr="00BF0C57">
        <w:rPr>
          <w:rFonts w:ascii="Verdana" w:hAnsi="Verdana"/>
          <w:sz w:val="20"/>
          <w:szCs w:val="20"/>
        </w:rPr>
        <w:t>.</w:t>
      </w:r>
      <w:r>
        <w:rPr>
          <w:rFonts w:ascii="Verdana" w:hAnsi="Verdana"/>
          <w:sz w:val="20"/>
          <w:szCs w:val="20"/>
        </w:rPr>
        <w:t>2</w:t>
      </w:r>
      <w:r w:rsidRPr="00BF0C57">
        <w:rPr>
          <w:rFonts w:ascii="Verdana" w:hAnsi="Verdana"/>
          <w:sz w:val="20"/>
          <w:szCs w:val="20"/>
        </w:rPr>
        <w:t>.</w:t>
      </w:r>
      <w:r>
        <w:rPr>
          <w:rFonts w:ascii="Verdana" w:hAnsi="Verdana"/>
          <w:sz w:val="20"/>
          <w:szCs w:val="20"/>
        </w:rPr>
        <w:t>3</w:t>
      </w:r>
    </w:p>
    <w:p w14:paraId="01A1348E" w14:textId="0F24372E" w:rsidR="0019184F" w:rsidRPr="0019184F" w:rsidRDefault="0042608D" w:rsidP="00402C24">
      <w:pPr>
        <w:spacing w:after="0"/>
        <w:jc w:val="both"/>
        <w:rPr>
          <w:rFonts w:ascii="Verdana" w:hAnsi="Verdana"/>
          <w:sz w:val="20"/>
          <w:szCs w:val="20"/>
        </w:rPr>
      </w:pPr>
      <w:r w:rsidRPr="0042608D">
        <w:rPr>
          <w:rFonts w:ascii="Verdana" w:hAnsi="Verdana"/>
          <w:sz w:val="20"/>
          <w:szCs w:val="20"/>
        </w:rPr>
        <w:t xml:space="preserve">Para la inclusión en el cálculo de la posición propia de las compras y ventas de opciones peso-divisa y divisa-divisa, </w:t>
      </w:r>
      <w:proofErr w:type="spellStart"/>
      <w:r w:rsidRPr="00737C32">
        <w:rPr>
          <w:rFonts w:ascii="Verdana" w:hAnsi="Verdana"/>
          <w:i/>
          <w:iCs/>
          <w:sz w:val="20"/>
          <w:szCs w:val="20"/>
        </w:rPr>
        <w:t>call</w:t>
      </w:r>
      <w:proofErr w:type="spellEnd"/>
      <w:r w:rsidRPr="0042608D">
        <w:rPr>
          <w:rFonts w:ascii="Verdana" w:hAnsi="Verdana"/>
          <w:sz w:val="20"/>
          <w:szCs w:val="20"/>
        </w:rPr>
        <w:t xml:space="preserve"> y </w:t>
      </w:r>
      <w:proofErr w:type="spellStart"/>
      <w:r w:rsidRPr="00737C32">
        <w:rPr>
          <w:rFonts w:ascii="Verdana" w:hAnsi="Verdana"/>
          <w:i/>
          <w:iCs/>
          <w:sz w:val="20"/>
          <w:szCs w:val="20"/>
        </w:rPr>
        <w:t>put</w:t>
      </w:r>
      <w:proofErr w:type="spellEnd"/>
      <w:r w:rsidRPr="0042608D">
        <w:rPr>
          <w:rFonts w:ascii="Verdana" w:hAnsi="Verdana"/>
          <w:sz w:val="20"/>
          <w:szCs w:val="20"/>
        </w:rPr>
        <w:t>, se debe considerar el delta, esto es, la medida del riesgo cambiario para las opciones, el cual debe ser calculado independientemente para cada opción.</w:t>
      </w:r>
    </w:p>
    <w:p w14:paraId="2069E7C1" w14:textId="77777777" w:rsidR="0019184F" w:rsidRDefault="0019184F" w:rsidP="00402C24">
      <w:pPr>
        <w:spacing w:after="0"/>
        <w:jc w:val="both"/>
        <w:rPr>
          <w:rFonts w:ascii="Verdana" w:hAnsi="Verdana"/>
          <w:sz w:val="20"/>
          <w:szCs w:val="20"/>
        </w:rPr>
      </w:pPr>
    </w:p>
    <w:p w14:paraId="57482D1A" w14:textId="2533820A" w:rsidR="00FE48A7" w:rsidRPr="00BF0C57" w:rsidRDefault="00FE48A7" w:rsidP="00FE48A7">
      <w:pPr>
        <w:spacing w:after="0"/>
        <w:rPr>
          <w:rFonts w:ascii="Verdana" w:hAnsi="Verdana"/>
          <w:sz w:val="20"/>
          <w:szCs w:val="20"/>
        </w:rPr>
      </w:pPr>
      <w:r>
        <w:rPr>
          <w:rFonts w:ascii="Verdana" w:hAnsi="Verdana"/>
          <w:sz w:val="20"/>
          <w:szCs w:val="20"/>
        </w:rPr>
        <w:t>2</w:t>
      </w:r>
      <w:r w:rsidRPr="00BF0C57">
        <w:rPr>
          <w:rFonts w:ascii="Verdana" w:hAnsi="Verdana"/>
          <w:sz w:val="20"/>
          <w:szCs w:val="20"/>
        </w:rPr>
        <w:t>.</w:t>
      </w:r>
      <w:r>
        <w:rPr>
          <w:rFonts w:ascii="Verdana" w:hAnsi="Verdana"/>
          <w:sz w:val="20"/>
          <w:szCs w:val="20"/>
        </w:rPr>
        <w:t>8</w:t>
      </w:r>
      <w:r w:rsidRPr="00BF0C57">
        <w:rPr>
          <w:rFonts w:ascii="Verdana" w:hAnsi="Verdana"/>
          <w:sz w:val="20"/>
          <w:szCs w:val="20"/>
        </w:rPr>
        <w:t>.</w:t>
      </w:r>
      <w:r>
        <w:rPr>
          <w:rFonts w:ascii="Verdana" w:hAnsi="Verdana"/>
          <w:sz w:val="20"/>
          <w:szCs w:val="20"/>
        </w:rPr>
        <w:t>2</w:t>
      </w:r>
      <w:r w:rsidRPr="00BF0C57">
        <w:rPr>
          <w:rFonts w:ascii="Verdana" w:hAnsi="Verdana"/>
          <w:sz w:val="20"/>
          <w:szCs w:val="20"/>
        </w:rPr>
        <w:t>.</w:t>
      </w:r>
      <w:r>
        <w:rPr>
          <w:rFonts w:ascii="Verdana" w:hAnsi="Verdana"/>
          <w:sz w:val="20"/>
          <w:szCs w:val="20"/>
        </w:rPr>
        <w:t>4</w:t>
      </w:r>
    </w:p>
    <w:p w14:paraId="19ECAB7D" w14:textId="77777777" w:rsidR="0019184F" w:rsidRPr="0019184F" w:rsidRDefault="0019184F" w:rsidP="00402C24">
      <w:pPr>
        <w:spacing w:after="0"/>
        <w:jc w:val="both"/>
        <w:rPr>
          <w:rFonts w:ascii="Verdana" w:hAnsi="Verdana"/>
          <w:sz w:val="20"/>
          <w:szCs w:val="20"/>
        </w:rPr>
      </w:pPr>
      <w:r w:rsidRPr="0019184F">
        <w:rPr>
          <w:rFonts w:ascii="Verdana" w:hAnsi="Verdana"/>
          <w:sz w:val="20"/>
          <w:szCs w:val="20"/>
        </w:rPr>
        <w:t>Considerando que el delta es un porcentaje, para determinar el valor a incluir en el cálculo de la posición propia se debe multiplicar el delta por el monto de cada opción.</w:t>
      </w:r>
    </w:p>
    <w:p w14:paraId="277B8742" w14:textId="77777777" w:rsidR="0019184F" w:rsidRPr="0019184F" w:rsidRDefault="0019184F" w:rsidP="00402C24">
      <w:pPr>
        <w:spacing w:after="0"/>
        <w:jc w:val="both"/>
        <w:rPr>
          <w:rFonts w:ascii="Verdana" w:hAnsi="Verdana"/>
          <w:sz w:val="20"/>
          <w:szCs w:val="20"/>
        </w:rPr>
      </w:pPr>
    </w:p>
    <w:p w14:paraId="65B0EC0E" w14:textId="7C6A69B8" w:rsidR="0074729C" w:rsidRPr="00BF0C57" w:rsidRDefault="0074729C" w:rsidP="0074729C">
      <w:pPr>
        <w:spacing w:after="0"/>
        <w:rPr>
          <w:rFonts w:ascii="Verdana" w:hAnsi="Verdana"/>
          <w:sz w:val="20"/>
          <w:szCs w:val="20"/>
        </w:rPr>
      </w:pPr>
      <w:r>
        <w:rPr>
          <w:rFonts w:ascii="Verdana" w:hAnsi="Verdana"/>
          <w:sz w:val="20"/>
          <w:szCs w:val="20"/>
        </w:rPr>
        <w:t>2</w:t>
      </w:r>
      <w:r w:rsidRPr="00BF0C57">
        <w:rPr>
          <w:rFonts w:ascii="Verdana" w:hAnsi="Verdana"/>
          <w:sz w:val="20"/>
          <w:szCs w:val="20"/>
        </w:rPr>
        <w:t>.</w:t>
      </w:r>
      <w:r>
        <w:rPr>
          <w:rFonts w:ascii="Verdana" w:hAnsi="Verdana"/>
          <w:sz w:val="20"/>
          <w:szCs w:val="20"/>
        </w:rPr>
        <w:t>8</w:t>
      </w:r>
      <w:r w:rsidRPr="00BF0C57">
        <w:rPr>
          <w:rFonts w:ascii="Verdana" w:hAnsi="Verdana"/>
          <w:sz w:val="20"/>
          <w:szCs w:val="20"/>
        </w:rPr>
        <w:t>.</w:t>
      </w:r>
      <w:r>
        <w:rPr>
          <w:rFonts w:ascii="Verdana" w:hAnsi="Verdana"/>
          <w:sz w:val="20"/>
          <w:szCs w:val="20"/>
        </w:rPr>
        <w:t>2</w:t>
      </w:r>
      <w:r w:rsidRPr="00BF0C57">
        <w:rPr>
          <w:rFonts w:ascii="Verdana" w:hAnsi="Verdana"/>
          <w:sz w:val="20"/>
          <w:szCs w:val="20"/>
        </w:rPr>
        <w:t>.</w:t>
      </w:r>
      <w:r>
        <w:rPr>
          <w:rFonts w:ascii="Verdana" w:hAnsi="Verdana"/>
          <w:sz w:val="20"/>
          <w:szCs w:val="20"/>
        </w:rPr>
        <w:t>5</w:t>
      </w:r>
    </w:p>
    <w:p w14:paraId="4900AA95" w14:textId="4D5D6887" w:rsidR="0019184F" w:rsidRDefault="0019184F" w:rsidP="00402C24">
      <w:pPr>
        <w:spacing w:after="0"/>
        <w:jc w:val="both"/>
        <w:rPr>
          <w:rFonts w:ascii="Verdana" w:hAnsi="Verdana"/>
          <w:sz w:val="20"/>
          <w:szCs w:val="20"/>
        </w:rPr>
      </w:pPr>
      <w:r w:rsidRPr="0019184F">
        <w:rPr>
          <w:rFonts w:ascii="Verdana" w:hAnsi="Verdana"/>
          <w:sz w:val="20"/>
          <w:szCs w:val="20"/>
        </w:rPr>
        <w:t>Las entidades pueden calcular el delta de acuerdo con la metodología establecida para el efecto por el proveedor de precios designado como oficial o podrá</w:t>
      </w:r>
      <w:r w:rsidR="000D7972">
        <w:rPr>
          <w:rFonts w:ascii="Verdana" w:hAnsi="Verdana"/>
          <w:sz w:val="20"/>
          <w:szCs w:val="20"/>
        </w:rPr>
        <w:t>n</w:t>
      </w:r>
      <w:r w:rsidRPr="0019184F">
        <w:rPr>
          <w:rFonts w:ascii="Verdana" w:hAnsi="Verdana"/>
          <w:sz w:val="20"/>
          <w:szCs w:val="20"/>
        </w:rPr>
        <w:t xml:space="preserve"> utilizar su propia metodología.</w:t>
      </w:r>
    </w:p>
    <w:p w14:paraId="1221F1EF" w14:textId="77777777" w:rsidR="00957252" w:rsidRDefault="00957252" w:rsidP="00402C24">
      <w:pPr>
        <w:spacing w:after="0"/>
        <w:jc w:val="both"/>
        <w:rPr>
          <w:rFonts w:ascii="Verdana" w:hAnsi="Verdana"/>
          <w:sz w:val="20"/>
          <w:szCs w:val="20"/>
        </w:rPr>
      </w:pPr>
    </w:p>
    <w:p w14:paraId="24A2D285" w14:textId="73AF074B" w:rsidR="00957252" w:rsidRPr="00BF0C57" w:rsidRDefault="00957252" w:rsidP="00957252">
      <w:pPr>
        <w:spacing w:after="0"/>
        <w:rPr>
          <w:rFonts w:ascii="Verdana" w:hAnsi="Verdana"/>
          <w:sz w:val="20"/>
          <w:szCs w:val="20"/>
        </w:rPr>
      </w:pPr>
      <w:r>
        <w:rPr>
          <w:rFonts w:ascii="Verdana" w:hAnsi="Verdana"/>
          <w:sz w:val="20"/>
          <w:szCs w:val="20"/>
        </w:rPr>
        <w:t>2</w:t>
      </w:r>
      <w:r w:rsidRPr="00BF0C57">
        <w:rPr>
          <w:rFonts w:ascii="Verdana" w:hAnsi="Verdana"/>
          <w:sz w:val="20"/>
          <w:szCs w:val="20"/>
        </w:rPr>
        <w:t>.</w:t>
      </w:r>
      <w:r>
        <w:rPr>
          <w:rFonts w:ascii="Verdana" w:hAnsi="Verdana"/>
          <w:sz w:val="20"/>
          <w:szCs w:val="20"/>
        </w:rPr>
        <w:t>8</w:t>
      </w:r>
      <w:r w:rsidRPr="00BF0C57">
        <w:rPr>
          <w:rFonts w:ascii="Verdana" w:hAnsi="Verdana"/>
          <w:sz w:val="20"/>
          <w:szCs w:val="20"/>
        </w:rPr>
        <w:t>.</w:t>
      </w:r>
      <w:r>
        <w:rPr>
          <w:rFonts w:ascii="Verdana" w:hAnsi="Verdana"/>
          <w:sz w:val="20"/>
          <w:szCs w:val="20"/>
        </w:rPr>
        <w:t>2</w:t>
      </w:r>
      <w:r w:rsidRPr="00BF0C57">
        <w:rPr>
          <w:rFonts w:ascii="Verdana" w:hAnsi="Verdana"/>
          <w:sz w:val="20"/>
          <w:szCs w:val="20"/>
        </w:rPr>
        <w:t>.</w:t>
      </w:r>
      <w:r>
        <w:rPr>
          <w:rFonts w:ascii="Verdana" w:hAnsi="Verdana"/>
          <w:sz w:val="20"/>
          <w:szCs w:val="20"/>
        </w:rPr>
        <w:t>6</w:t>
      </w:r>
    </w:p>
    <w:p w14:paraId="399CEFC8" w14:textId="77777777" w:rsidR="0019184F" w:rsidRPr="0019184F" w:rsidRDefault="0019184F" w:rsidP="00402C24">
      <w:pPr>
        <w:spacing w:after="0"/>
        <w:jc w:val="both"/>
        <w:rPr>
          <w:rFonts w:ascii="Verdana" w:hAnsi="Verdana"/>
          <w:sz w:val="20"/>
          <w:szCs w:val="20"/>
        </w:rPr>
      </w:pPr>
      <w:r w:rsidRPr="0019184F">
        <w:rPr>
          <w:rFonts w:ascii="Verdana" w:hAnsi="Verdana"/>
          <w:sz w:val="20"/>
          <w:szCs w:val="20"/>
        </w:rPr>
        <w:t>Si la entidad utiliza su propia metodología interna, la SFC podrá objetarla, así como sus modificaciones.</w:t>
      </w:r>
    </w:p>
    <w:p w14:paraId="54A79F20" w14:textId="77777777" w:rsidR="0019184F" w:rsidRPr="0019184F" w:rsidRDefault="0019184F" w:rsidP="00402C24">
      <w:pPr>
        <w:spacing w:after="0"/>
        <w:jc w:val="both"/>
        <w:rPr>
          <w:rFonts w:ascii="Verdana" w:hAnsi="Verdana"/>
          <w:sz w:val="20"/>
          <w:szCs w:val="20"/>
        </w:rPr>
      </w:pPr>
    </w:p>
    <w:p w14:paraId="3D9075CD" w14:textId="4C205C52" w:rsidR="0019184F" w:rsidRPr="0019184F" w:rsidRDefault="00155EDE" w:rsidP="00402C24">
      <w:pPr>
        <w:spacing w:after="0"/>
        <w:jc w:val="both"/>
        <w:rPr>
          <w:rFonts w:ascii="Verdana" w:hAnsi="Verdana"/>
          <w:b/>
          <w:bCs/>
          <w:sz w:val="20"/>
          <w:szCs w:val="20"/>
        </w:rPr>
      </w:pPr>
      <w:r>
        <w:rPr>
          <w:rFonts w:ascii="Verdana" w:hAnsi="Verdana"/>
          <w:b/>
          <w:bCs/>
          <w:sz w:val="20"/>
          <w:szCs w:val="20"/>
        </w:rPr>
        <w:t>T</w:t>
      </w:r>
      <w:r w:rsidRPr="0019184F">
        <w:rPr>
          <w:rFonts w:ascii="Verdana" w:hAnsi="Verdana"/>
          <w:b/>
          <w:bCs/>
          <w:sz w:val="20"/>
          <w:szCs w:val="20"/>
        </w:rPr>
        <w:t>ratamiento de derechos y obligaciones en monedas diferentes a la moneda funcional</w:t>
      </w:r>
    </w:p>
    <w:p w14:paraId="00861FED" w14:textId="77777777" w:rsidR="005E5F5C" w:rsidRDefault="005E5F5C" w:rsidP="00CD2FBB">
      <w:pPr>
        <w:spacing w:after="0"/>
        <w:rPr>
          <w:rFonts w:ascii="Verdana" w:hAnsi="Verdana"/>
          <w:sz w:val="20"/>
          <w:szCs w:val="20"/>
        </w:rPr>
      </w:pPr>
    </w:p>
    <w:p w14:paraId="6D5C43BC" w14:textId="064AD97C" w:rsidR="00CD2FBB" w:rsidRPr="00BF0C57" w:rsidRDefault="00CD2FBB" w:rsidP="00CD2FBB">
      <w:pPr>
        <w:spacing w:after="0"/>
        <w:rPr>
          <w:rFonts w:ascii="Verdana" w:hAnsi="Verdana"/>
          <w:sz w:val="20"/>
          <w:szCs w:val="20"/>
        </w:rPr>
      </w:pPr>
      <w:r>
        <w:rPr>
          <w:rFonts w:ascii="Verdana" w:hAnsi="Verdana"/>
          <w:sz w:val="20"/>
          <w:szCs w:val="20"/>
        </w:rPr>
        <w:t>2</w:t>
      </w:r>
      <w:r w:rsidRPr="00BF0C57">
        <w:rPr>
          <w:rFonts w:ascii="Verdana" w:hAnsi="Verdana"/>
          <w:sz w:val="20"/>
          <w:szCs w:val="20"/>
        </w:rPr>
        <w:t>.</w:t>
      </w:r>
      <w:r>
        <w:rPr>
          <w:rFonts w:ascii="Verdana" w:hAnsi="Verdana"/>
          <w:sz w:val="20"/>
          <w:szCs w:val="20"/>
        </w:rPr>
        <w:t>8</w:t>
      </w:r>
      <w:r w:rsidRPr="00BF0C57">
        <w:rPr>
          <w:rFonts w:ascii="Verdana" w:hAnsi="Verdana"/>
          <w:sz w:val="20"/>
          <w:szCs w:val="20"/>
        </w:rPr>
        <w:t>.</w:t>
      </w:r>
      <w:r>
        <w:rPr>
          <w:rFonts w:ascii="Verdana" w:hAnsi="Verdana"/>
          <w:sz w:val="20"/>
          <w:szCs w:val="20"/>
        </w:rPr>
        <w:t>2</w:t>
      </w:r>
      <w:r w:rsidRPr="00BF0C57">
        <w:rPr>
          <w:rFonts w:ascii="Verdana" w:hAnsi="Verdana"/>
          <w:sz w:val="20"/>
          <w:szCs w:val="20"/>
        </w:rPr>
        <w:t>.</w:t>
      </w:r>
      <w:r>
        <w:rPr>
          <w:rFonts w:ascii="Verdana" w:hAnsi="Verdana"/>
          <w:sz w:val="20"/>
          <w:szCs w:val="20"/>
        </w:rPr>
        <w:t>7</w:t>
      </w:r>
    </w:p>
    <w:p w14:paraId="3A150DD9" w14:textId="77777777" w:rsidR="0019184F" w:rsidRPr="0019184F" w:rsidRDefault="0019184F" w:rsidP="00402C24">
      <w:pPr>
        <w:spacing w:after="0"/>
        <w:jc w:val="both"/>
        <w:rPr>
          <w:rFonts w:ascii="Verdana" w:hAnsi="Verdana"/>
          <w:sz w:val="20"/>
          <w:szCs w:val="20"/>
        </w:rPr>
      </w:pPr>
      <w:r w:rsidRPr="0019184F">
        <w:rPr>
          <w:rFonts w:ascii="Verdana" w:hAnsi="Verdana"/>
          <w:sz w:val="20"/>
          <w:szCs w:val="20"/>
        </w:rPr>
        <w:t xml:space="preserve">Las operaciones en divisas diferentes a la moneda funcional dólar de los Estados Unidos de América (USD), se deben </w:t>
      </w:r>
      <w:proofErr w:type="spellStart"/>
      <w:r w:rsidRPr="0019184F">
        <w:rPr>
          <w:rFonts w:ascii="Verdana" w:hAnsi="Verdana"/>
          <w:sz w:val="20"/>
          <w:szCs w:val="20"/>
        </w:rPr>
        <w:t>reexpresar</w:t>
      </w:r>
      <w:proofErr w:type="spellEnd"/>
      <w:r w:rsidRPr="0019184F">
        <w:rPr>
          <w:rFonts w:ascii="Verdana" w:hAnsi="Verdana"/>
          <w:sz w:val="20"/>
          <w:szCs w:val="20"/>
        </w:rPr>
        <w:t xml:space="preserve"> en dólares (USD) con base en las tasas de </w:t>
      </w:r>
      <w:r w:rsidRPr="0019184F">
        <w:rPr>
          <w:rFonts w:ascii="Verdana" w:hAnsi="Verdana"/>
          <w:sz w:val="20"/>
          <w:szCs w:val="20"/>
        </w:rPr>
        <w:lastRenderedPageBreak/>
        <w:t xml:space="preserve">conversión de divisas publicadas en la página web del Banco Central Europeo (BCE), con 6 decimales, aproximado el último por el sistema de redondeo. </w:t>
      </w:r>
    </w:p>
    <w:p w14:paraId="54C10204" w14:textId="77777777" w:rsidR="0019184F" w:rsidRPr="0019184F" w:rsidRDefault="0019184F" w:rsidP="00402C24">
      <w:pPr>
        <w:spacing w:after="0"/>
        <w:jc w:val="both"/>
        <w:rPr>
          <w:rFonts w:ascii="Verdana" w:hAnsi="Verdana"/>
          <w:sz w:val="20"/>
          <w:szCs w:val="20"/>
        </w:rPr>
      </w:pPr>
    </w:p>
    <w:p w14:paraId="46E6EB31" w14:textId="1E78198D" w:rsidR="00CD2FBB" w:rsidRPr="00BF0C57" w:rsidRDefault="00CD2FBB" w:rsidP="00CD2FBB">
      <w:pPr>
        <w:spacing w:after="0"/>
        <w:rPr>
          <w:rFonts w:ascii="Verdana" w:hAnsi="Verdana"/>
          <w:sz w:val="20"/>
          <w:szCs w:val="20"/>
        </w:rPr>
      </w:pPr>
      <w:r>
        <w:rPr>
          <w:rFonts w:ascii="Verdana" w:hAnsi="Verdana"/>
          <w:sz w:val="20"/>
          <w:szCs w:val="20"/>
        </w:rPr>
        <w:t>2</w:t>
      </w:r>
      <w:r w:rsidRPr="00BF0C57">
        <w:rPr>
          <w:rFonts w:ascii="Verdana" w:hAnsi="Verdana"/>
          <w:sz w:val="20"/>
          <w:szCs w:val="20"/>
        </w:rPr>
        <w:t>.</w:t>
      </w:r>
      <w:r>
        <w:rPr>
          <w:rFonts w:ascii="Verdana" w:hAnsi="Verdana"/>
          <w:sz w:val="20"/>
          <w:szCs w:val="20"/>
        </w:rPr>
        <w:t>8</w:t>
      </w:r>
      <w:r w:rsidRPr="00BF0C57">
        <w:rPr>
          <w:rFonts w:ascii="Verdana" w:hAnsi="Verdana"/>
          <w:sz w:val="20"/>
          <w:szCs w:val="20"/>
        </w:rPr>
        <w:t>.</w:t>
      </w:r>
      <w:r>
        <w:rPr>
          <w:rFonts w:ascii="Verdana" w:hAnsi="Verdana"/>
          <w:sz w:val="20"/>
          <w:szCs w:val="20"/>
        </w:rPr>
        <w:t>2</w:t>
      </w:r>
      <w:r w:rsidRPr="00BF0C57">
        <w:rPr>
          <w:rFonts w:ascii="Verdana" w:hAnsi="Verdana"/>
          <w:sz w:val="20"/>
          <w:szCs w:val="20"/>
        </w:rPr>
        <w:t>.</w:t>
      </w:r>
      <w:r w:rsidR="00C1199E">
        <w:rPr>
          <w:rFonts w:ascii="Verdana" w:hAnsi="Verdana"/>
          <w:sz w:val="20"/>
          <w:szCs w:val="20"/>
        </w:rPr>
        <w:t>8</w:t>
      </w:r>
    </w:p>
    <w:p w14:paraId="77C09484" w14:textId="2290306B" w:rsidR="0019184F" w:rsidRDefault="00733221" w:rsidP="00402C24">
      <w:pPr>
        <w:spacing w:after="0"/>
        <w:jc w:val="both"/>
        <w:rPr>
          <w:rFonts w:ascii="Verdana" w:hAnsi="Verdana"/>
          <w:sz w:val="20"/>
          <w:szCs w:val="20"/>
        </w:rPr>
      </w:pPr>
      <w:r w:rsidRPr="00733221">
        <w:rPr>
          <w:rFonts w:ascii="Verdana" w:hAnsi="Verdana"/>
          <w:sz w:val="20"/>
          <w:szCs w:val="20"/>
        </w:rPr>
        <w:t>Cuando la tasa de conversión de la divisa no se encuentre en la página web del Banco Central Europeo, se deberá tomar la tasa de conversión frente al dólar de los Estados Unidos de América (USD) publicada por el Banco Central del respectivo país.</w:t>
      </w:r>
    </w:p>
    <w:p w14:paraId="22F217A6" w14:textId="77777777" w:rsidR="00733221" w:rsidRDefault="00733221" w:rsidP="00402C24">
      <w:pPr>
        <w:spacing w:after="0"/>
        <w:jc w:val="both"/>
        <w:rPr>
          <w:rFonts w:ascii="Verdana" w:hAnsi="Verdana"/>
          <w:sz w:val="20"/>
          <w:szCs w:val="20"/>
        </w:rPr>
      </w:pPr>
    </w:p>
    <w:p w14:paraId="5C3682ED" w14:textId="10F698DF" w:rsidR="000535CF" w:rsidRPr="00BF0C57" w:rsidRDefault="000535CF" w:rsidP="000535CF">
      <w:pPr>
        <w:spacing w:after="0"/>
        <w:rPr>
          <w:rFonts w:ascii="Verdana" w:hAnsi="Verdana"/>
          <w:sz w:val="20"/>
          <w:szCs w:val="20"/>
        </w:rPr>
      </w:pPr>
      <w:r>
        <w:rPr>
          <w:rFonts w:ascii="Verdana" w:hAnsi="Verdana"/>
          <w:sz w:val="20"/>
          <w:szCs w:val="20"/>
        </w:rPr>
        <w:t>2</w:t>
      </w:r>
      <w:r w:rsidRPr="00BF0C57">
        <w:rPr>
          <w:rFonts w:ascii="Verdana" w:hAnsi="Verdana"/>
          <w:sz w:val="20"/>
          <w:szCs w:val="20"/>
        </w:rPr>
        <w:t>.</w:t>
      </w:r>
      <w:r>
        <w:rPr>
          <w:rFonts w:ascii="Verdana" w:hAnsi="Verdana"/>
          <w:sz w:val="20"/>
          <w:szCs w:val="20"/>
        </w:rPr>
        <w:t>8</w:t>
      </w:r>
      <w:r w:rsidRPr="00BF0C57">
        <w:rPr>
          <w:rFonts w:ascii="Verdana" w:hAnsi="Verdana"/>
          <w:sz w:val="20"/>
          <w:szCs w:val="20"/>
        </w:rPr>
        <w:t>.</w:t>
      </w:r>
      <w:r>
        <w:rPr>
          <w:rFonts w:ascii="Verdana" w:hAnsi="Verdana"/>
          <w:sz w:val="20"/>
          <w:szCs w:val="20"/>
        </w:rPr>
        <w:t>2</w:t>
      </w:r>
      <w:r w:rsidRPr="00BF0C57">
        <w:rPr>
          <w:rFonts w:ascii="Verdana" w:hAnsi="Verdana"/>
          <w:sz w:val="20"/>
          <w:szCs w:val="20"/>
        </w:rPr>
        <w:t>.</w:t>
      </w:r>
      <w:r>
        <w:rPr>
          <w:rFonts w:ascii="Verdana" w:hAnsi="Verdana"/>
          <w:sz w:val="20"/>
          <w:szCs w:val="20"/>
        </w:rPr>
        <w:t>9</w:t>
      </w:r>
    </w:p>
    <w:p w14:paraId="726BB48D" w14:textId="6F3D325C" w:rsidR="0019184F" w:rsidRDefault="005A5854" w:rsidP="00402C24">
      <w:pPr>
        <w:spacing w:after="0"/>
        <w:jc w:val="both"/>
        <w:rPr>
          <w:rFonts w:ascii="Verdana" w:hAnsi="Verdana"/>
          <w:sz w:val="20"/>
          <w:szCs w:val="20"/>
        </w:rPr>
      </w:pPr>
      <w:r w:rsidRPr="005A5854">
        <w:rPr>
          <w:rFonts w:ascii="Verdana" w:hAnsi="Verdana"/>
          <w:sz w:val="20"/>
          <w:szCs w:val="20"/>
        </w:rPr>
        <w:t xml:space="preserve">Para la inclusión en el cálculo de la posición propia de los saldos referentes a operaciones en moneda legal, pero indexadas a cualquier moneda extranjera, estos saldos se deben </w:t>
      </w:r>
      <w:proofErr w:type="spellStart"/>
      <w:r w:rsidRPr="005A5854">
        <w:rPr>
          <w:rFonts w:ascii="Verdana" w:hAnsi="Verdana"/>
          <w:sz w:val="20"/>
          <w:szCs w:val="20"/>
        </w:rPr>
        <w:t>reexpresar</w:t>
      </w:r>
      <w:proofErr w:type="spellEnd"/>
      <w:r w:rsidRPr="005A5854">
        <w:rPr>
          <w:rFonts w:ascii="Verdana" w:hAnsi="Verdana"/>
          <w:sz w:val="20"/>
          <w:szCs w:val="20"/>
        </w:rPr>
        <w:t xml:space="preserve"> diariamente en dólares (USD) utilizando la tasa representativa del mercado (TRM) certificada por la Superintendencia Financiera.</w:t>
      </w:r>
    </w:p>
    <w:p w14:paraId="7CFFA3C9" w14:textId="77777777" w:rsidR="005A5854" w:rsidRPr="0019184F" w:rsidRDefault="005A5854" w:rsidP="00402C24">
      <w:pPr>
        <w:spacing w:after="0"/>
        <w:jc w:val="both"/>
        <w:rPr>
          <w:rFonts w:ascii="Verdana" w:hAnsi="Verdana"/>
          <w:sz w:val="20"/>
          <w:szCs w:val="20"/>
        </w:rPr>
      </w:pPr>
    </w:p>
    <w:p w14:paraId="2DEA49E8" w14:textId="6799854E" w:rsidR="004544BD" w:rsidRPr="00BF0C57" w:rsidRDefault="004544BD" w:rsidP="004544BD">
      <w:pPr>
        <w:spacing w:after="0"/>
        <w:rPr>
          <w:rFonts w:ascii="Verdana" w:hAnsi="Verdana"/>
          <w:sz w:val="20"/>
          <w:szCs w:val="20"/>
        </w:rPr>
      </w:pPr>
      <w:r>
        <w:rPr>
          <w:rFonts w:ascii="Verdana" w:hAnsi="Verdana"/>
          <w:sz w:val="20"/>
          <w:szCs w:val="20"/>
        </w:rPr>
        <w:t>2</w:t>
      </w:r>
      <w:r w:rsidRPr="00BF0C57">
        <w:rPr>
          <w:rFonts w:ascii="Verdana" w:hAnsi="Verdana"/>
          <w:sz w:val="20"/>
          <w:szCs w:val="20"/>
        </w:rPr>
        <w:t>.</w:t>
      </w:r>
      <w:r>
        <w:rPr>
          <w:rFonts w:ascii="Verdana" w:hAnsi="Verdana"/>
          <w:sz w:val="20"/>
          <w:szCs w:val="20"/>
        </w:rPr>
        <w:t>8</w:t>
      </w:r>
      <w:r w:rsidRPr="00BF0C57">
        <w:rPr>
          <w:rFonts w:ascii="Verdana" w:hAnsi="Verdana"/>
          <w:sz w:val="20"/>
          <w:szCs w:val="20"/>
        </w:rPr>
        <w:t>.</w:t>
      </w:r>
      <w:r>
        <w:rPr>
          <w:rFonts w:ascii="Verdana" w:hAnsi="Verdana"/>
          <w:sz w:val="20"/>
          <w:szCs w:val="20"/>
        </w:rPr>
        <w:t>2</w:t>
      </w:r>
      <w:r w:rsidRPr="00BF0C57">
        <w:rPr>
          <w:rFonts w:ascii="Verdana" w:hAnsi="Verdana"/>
          <w:sz w:val="20"/>
          <w:szCs w:val="20"/>
        </w:rPr>
        <w:t>.</w:t>
      </w:r>
      <w:r>
        <w:rPr>
          <w:rFonts w:ascii="Verdana" w:hAnsi="Verdana"/>
          <w:sz w:val="20"/>
          <w:szCs w:val="20"/>
        </w:rPr>
        <w:t>10</w:t>
      </w:r>
    </w:p>
    <w:p w14:paraId="28FA8726" w14:textId="55E75813" w:rsidR="0019184F" w:rsidRPr="0019184F" w:rsidRDefault="0019184F" w:rsidP="00402C24">
      <w:pPr>
        <w:spacing w:after="0"/>
        <w:jc w:val="both"/>
        <w:rPr>
          <w:rFonts w:ascii="Verdana" w:hAnsi="Verdana"/>
          <w:sz w:val="20"/>
          <w:szCs w:val="20"/>
        </w:rPr>
      </w:pPr>
      <w:r w:rsidRPr="0019184F">
        <w:rPr>
          <w:rFonts w:ascii="Verdana" w:hAnsi="Verdana"/>
          <w:sz w:val="20"/>
          <w:szCs w:val="20"/>
        </w:rPr>
        <w:t>Para los cierres de mes se debe utilizar la tasa de cambio para la reexpresión de cifras en moneda extranjera.</w:t>
      </w:r>
    </w:p>
    <w:p w14:paraId="07FAC736" w14:textId="77777777" w:rsidR="007A4231" w:rsidRPr="00402C24" w:rsidRDefault="007A4231" w:rsidP="00402C24">
      <w:pPr>
        <w:spacing w:after="0"/>
        <w:jc w:val="both"/>
        <w:rPr>
          <w:rFonts w:ascii="Verdana" w:hAnsi="Verdana"/>
          <w:sz w:val="20"/>
          <w:szCs w:val="20"/>
        </w:rPr>
      </w:pPr>
    </w:p>
    <w:sectPr w:rsidR="007A4231" w:rsidRPr="00402C24" w:rsidSect="003C558F">
      <w:headerReference w:type="default" r:id="rId10"/>
      <w:pgSz w:w="12240" w:h="20160" w:code="5"/>
      <w:pgMar w:top="1701"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B64C2A" w14:textId="77777777" w:rsidR="00DA579F" w:rsidRDefault="00DA579F" w:rsidP="00057BF6">
      <w:pPr>
        <w:spacing w:after="0" w:line="240" w:lineRule="auto"/>
      </w:pPr>
      <w:r>
        <w:separator/>
      </w:r>
    </w:p>
  </w:endnote>
  <w:endnote w:type="continuationSeparator" w:id="0">
    <w:p w14:paraId="3BAE9521" w14:textId="77777777" w:rsidR="00DA579F" w:rsidRDefault="00DA579F" w:rsidP="00057BF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9535BB" w14:textId="77777777" w:rsidR="00DA579F" w:rsidRDefault="00DA579F" w:rsidP="00057BF6">
      <w:pPr>
        <w:spacing w:after="0" w:line="240" w:lineRule="auto"/>
      </w:pPr>
      <w:r>
        <w:separator/>
      </w:r>
    </w:p>
  </w:footnote>
  <w:footnote w:type="continuationSeparator" w:id="0">
    <w:p w14:paraId="708DDE51" w14:textId="77777777" w:rsidR="00DA579F" w:rsidRDefault="00DA579F" w:rsidP="00057BF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543DA6" w14:textId="177B21D3" w:rsidR="00057BF6" w:rsidRPr="003A5CFE" w:rsidRDefault="003A5CFE" w:rsidP="003A5CFE">
    <w:pPr>
      <w:pStyle w:val="Encabezado"/>
      <w:jc w:val="center"/>
      <w:rPr>
        <w:rFonts w:ascii="Verdana" w:hAnsi="Verdana"/>
        <w:b/>
        <w:bCs/>
      </w:rPr>
    </w:pPr>
    <w:r w:rsidRPr="003A5CFE">
      <w:rPr>
        <w:rFonts w:ascii="Verdana" w:hAnsi="Verdana"/>
        <w:b/>
        <w:bCs/>
      </w:rPr>
      <w:t>SUPERINTENDENCIA FINANCIERA DE COLOMBIA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8962FB4E"/>
    <w:lvl w:ilvl="0">
      <w:start w:val="1"/>
      <w:numFmt w:val="bullet"/>
      <w:pStyle w:val="Listaconvietas2"/>
      <w:lvlText w:val=""/>
      <w:lvlJc w:val="left"/>
      <w:pPr>
        <w:tabs>
          <w:tab w:val="num" w:pos="643"/>
        </w:tabs>
        <w:ind w:left="643" w:hanging="360"/>
      </w:pPr>
      <w:rPr>
        <w:rFonts w:ascii="Symbol" w:hAnsi="Symbol" w:hint="default"/>
      </w:rPr>
    </w:lvl>
  </w:abstractNum>
  <w:abstractNum w:abstractNumId="1" w15:restartNumberingAfterBreak="0">
    <w:nsid w:val="020B0BA7"/>
    <w:multiLevelType w:val="hybridMultilevel"/>
    <w:tmpl w:val="E26E3126"/>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0BCC4487"/>
    <w:multiLevelType w:val="hybridMultilevel"/>
    <w:tmpl w:val="6344B048"/>
    <w:lvl w:ilvl="0" w:tplc="240A0017">
      <w:start w:val="1"/>
      <w:numFmt w:val="lowerLetter"/>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3" w15:restartNumberingAfterBreak="0">
    <w:nsid w:val="0BE4672D"/>
    <w:multiLevelType w:val="hybridMultilevel"/>
    <w:tmpl w:val="0C78D3A6"/>
    <w:lvl w:ilvl="0" w:tplc="240A0003">
      <w:start w:val="1"/>
      <w:numFmt w:val="bullet"/>
      <w:lvlText w:val="o"/>
      <w:lvlJc w:val="left"/>
      <w:pPr>
        <w:ind w:left="720" w:hanging="360"/>
      </w:pPr>
      <w:rPr>
        <w:rFonts w:ascii="Courier New" w:hAnsi="Courier New" w:cs="Courier New" w:hint="default"/>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0E922EF7"/>
    <w:multiLevelType w:val="hybridMultilevel"/>
    <w:tmpl w:val="44FCE8F2"/>
    <w:lvl w:ilvl="0" w:tplc="240A0017">
      <w:start w:val="1"/>
      <w:numFmt w:val="lowerLetter"/>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5" w15:restartNumberingAfterBreak="0">
    <w:nsid w:val="11E76E3C"/>
    <w:multiLevelType w:val="hybridMultilevel"/>
    <w:tmpl w:val="6D3C35CE"/>
    <w:lvl w:ilvl="0" w:tplc="240A0003">
      <w:start w:val="1"/>
      <w:numFmt w:val="bullet"/>
      <w:lvlText w:val="o"/>
      <w:lvlJc w:val="left"/>
      <w:pPr>
        <w:ind w:left="720" w:hanging="360"/>
      </w:pPr>
      <w:rPr>
        <w:rFonts w:ascii="Courier New" w:hAnsi="Courier New" w:cs="Courier New" w:hint="default"/>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141E0610"/>
    <w:multiLevelType w:val="hybridMultilevel"/>
    <w:tmpl w:val="5A1EADAA"/>
    <w:lvl w:ilvl="0" w:tplc="240A0003">
      <w:start w:val="1"/>
      <w:numFmt w:val="bullet"/>
      <w:lvlText w:val="o"/>
      <w:lvlJc w:val="left"/>
      <w:pPr>
        <w:ind w:left="720" w:hanging="360"/>
      </w:pPr>
      <w:rPr>
        <w:rFonts w:ascii="Courier New" w:hAnsi="Courier New" w:cs="Courier New" w:hint="default"/>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 w15:restartNumberingAfterBreak="0">
    <w:nsid w:val="14F3553D"/>
    <w:multiLevelType w:val="hybridMultilevel"/>
    <w:tmpl w:val="869812DA"/>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8" w15:restartNumberingAfterBreak="0">
    <w:nsid w:val="17DF6FA6"/>
    <w:multiLevelType w:val="hybridMultilevel"/>
    <w:tmpl w:val="F6825A38"/>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9" w15:restartNumberingAfterBreak="0">
    <w:nsid w:val="19016367"/>
    <w:multiLevelType w:val="hybridMultilevel"/>
    <w:tmpl w:val="496ACB18"/>
    <w:lvl w:ilvl="0" w:tplc="0C0A0001">
      <w:start w:val="1"/>
      <w:numFmt w:val="bullet"/>
      <w:lvlText w:val=""/>
      <w:lvlJc w:val="left"/>
      <w:pPr>
        <w:ind w:left="1068" w:hanging="360"/>
      </w:pPr>
      <w:rPr>
        <w:rFonts w:ascii="Symbol" w:hAnsi="Symbol" w:hint="default"/>
      </w:rPr>
    </w:lvl>
    <w:lvl w:ilvl="1" w:tplc="0C0A0003">
      <w:start w:val="1"/>
      <w:numFmt w:val="bullet"/>
      <w:lvlText w:val="o"/>
      <w:lvlJc w:val="left"/>
      <w:pPr>
        <w:ind w:left="1788" w:hanging="360"/>
      </w:pPr>
      <w:rPr>
        <w:rFonts w:ascii="Courier New" w:hAnsi="Courier New" w:cs="Courier New" w:hint="default"/>
      </w:rPr>
    </w:lvl>
    <w:lvl w:ilvl="2" w:tplc="0C0A0005" w:tentative="1">
      <w:start w:val="1"/>
      <w:numFmt w:val="bullet"/>
      <w:lvlText w:val=""/>
      <w:lvlJc w:val="left"/>
      <w:pPr>
        <w:ind w:left="2508" w:hanging="360"/>
      </w:pPr>
      <w:rPr>
        <w:rFonts w:ascii="Wingdings" w:hAnsi="Wingdings" w:hint="default"/>
      </w:rPr>
    </w:lvl>
    <w:lvl w:ilvl="3" w:tplc="0C0A0001" w:tentative="1">
      <w:start w:val="1"/>
      <w:numFmt w:val="bullet"/>
      <w:lvlText w:val=""/>
      <w:lvlJc w:val="left"/>
      <w:pPr>
        <w:ind w:left="3228" w:hanging="360"/>
      </w:pPr>
      <w:rPr>
        <w:rFonts w:ascii="Symbol" w:hAnsi="Symbol" w:hint="default"/>
      </w:rPr>
    </w:lvl>
    <w:lvl w:ilvl="4" w:tplc="0C0A0003" w:tentative="1">
      <w:start w:val="1"/>
      <w:numFmt w:val="bullet"/>
      <w:lvlText w:val="o"/>
      <w:lvlJc w:val="left"/>
      <w:pPr>
        <w:ind w:left="3948" w:hanging="360"/>
      </w:pPr>
      <w:rPr>
        <w:rFonts w:ascii="Courier New" w:hAnsi="Courier New" w:cs="Courier New" w:hint="default"/>
      </w:rPr>
    </w:lvl>
    <w:lvl w:ilvl="5" w:tplc="0C0A0005" w:tentative="1">
      <w:start w:val="1"/>
      <w:numFmt w:val="bullet"/>
      <w:lvlText w:val=""/>
      <w:lvlJc w:val="left"/>
      <w:pPr>
        <w:ind w:left="4668" w:hanging="360"/>
      </w:pPr>
      <w:rPr>
        <w:rFonts w:ascii="Wingdings" w:hAnsi="Wingdings" w:hint="default"/>
      </w:rPr>
    </w:lvl>
    <w:lvl w:ilvl="6" w:tplc="0C0A0001" w:tentative="1">
      <w:start w:val="1"/>
      <w:numFmt w:val="bullet"/>
      <w:lvlText w:val=""/>
      <w:lvlJc w:val="left"/>
      <w:pPr>
        <w:ind w:left="5388" w:hanging="360"/>
      </w:pPr>
      <w:rPr>
        <w:rFonts w:ascii="Symbol" w:hAnsi="Symbol" w:hint="default"/>
      </w:rPr>
    </w:lvl>
    <w:lvl w:ilvl="7" w:tplc="0C0A0003" w:tentative="1">
      <w:start w:val="1"/>
      <w:numFmt w:val="bullet"/>
      <w:lvlText w:val="o"/>
      <w:lvlJc w:val="left"/>
      <w:pPr>
        <w:ind w:left="6108" w:hanging="360"/>
      </w:pPr>
      <w:rPr>
        <w:rFonts w:ascii="Courier New" w:hAnsi="Courier New" w:cs="Courier New" w:hint="default"/>
      </w:rPr>
    </w:lvl>
    <w:lvl w:ilvl="8" w:tplc="0C0A0005" w:tentative="1">
      <w:start w:val="1"/>
      <w:numFmt w:val="bullet"/>
      <w:lvlText w:val=""/>
      <w:lvlJc w:val="left"/>
      <w:pPr>
        <w:ind w:left="6828" w:hanging="360"/>
      </w:pPr>
      <w:rPr>
        <w:rFonts w:ascii="Wingdings" w:hAnsi="Wingdings" w:hint="default"/>
      </w:rPr>
    </w:lvl>
  </w:abstractNum>
  <w:abstractNum w:abstractNumId="10" w15:restartNumberingAfterBreak="0">
    <w:nsid w:val="1B746782"/>
    <w:multiLevelType w:val="hybridMultilevel"/>
    <w:tmpl w:val="AA2CC714"/>
    <w:lvl w:ilvl="0" w:tplc="51E06BFE">
      <w:start w:val="1"/>
      <w:numFmt w:val="decimal"/>
      <w:lvlText w:val="%1."/>
      <w:lvlJc w:val="left"/>
      <w:pPr>
        <w:ind w:left="360" w:hanging="360"/>
      </w:pPr>
      <w:rPr>
        <w:b/>
      </w:rPr>
    </w:lvl>
    <w:lvl w:ilvl="1" w:tplc="AF9A35B0">
      <w:start w:val="1"/>
      <w:numFmt w:val="lowerLetter"/>
      <w:lvlText w:val="(%2)"/>
      <w:lvlJc w:val="left"/>
      <w:pPr>
        <w:ind w:left="1080" w:hanging="360"/>
      </w:pPr>
      <w:rPr>
        <w:rFonts w:hint="default"/>
      </w:rPr>
    </w:lvl>
    <w:lvl w:ilvl="2" w:tplc="EED2788E">
      <w:start w:val="1"/>
      <w:numFmt w:val="lowerLetter"/>
      <w:lvlText w:val="%3)"/>
      <w:lvlJc w:val="left"/>
      <w:pPr>
        <w:ind w:left="1695" w:hanging="75"/>
      </w:pPr>
      <w:rPr>
        <w:rFonts w:hint="default"/>
      </w:r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11" w15:restartNumberingAfterBreak="0">
    <w:nsid w:val="1BFD7307"/>
    <w:multiLevelType w:val="hybridMultilevel"/>
    <w:tmpl w:val="ADF63536"/>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12" w15:restartNumberingAfterBreak="0">
    <w:nsid w:val="20227BDF"/>
    <w:multiLevelType w:val="hybridMultilevel"/>
    <w:tmpl w:val="648E26EE"/>
    <w:lvl w:ilvl="0" w:tplc="240A0001">
      <w:start w:val="1"/>
      <w:numFmt w:val="bullet"/>
      <w:lvlText w:val=""/>
      <w:lvlJc w:val="left"/>
      <w:pPr>
        <w:ind w:left="360" w:hanging="360"/>
      </w:pPr>
      <w:rPr>
        <w:rFonts w:ascii="Symbol" w:hAnsi="Symbol" w:hint="default"/>
      </w:rPr>
    </w:lvl>
    <w:lvl w:ilvl="1" w:tplc="240A0003">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13" w15:restartNumberingAfterBreak="0">
    <w:nsid w:val="25850A78"/>
    <w:multiLevelType w:val="hybridMultilevel"/>
    <w:tmpl w:val="C0EA5546"/>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5F859B6"/>
    <w:multiLevelType w:val="hybridMultilevel"/>
    <w:tmpl w:val="CF8CC6B0"/>
    <w:lvl w:ilvl="0" w:tplc="240A0017">
      <w:start w:val="1"/>
      <w:numFmt w:val="lowerLetter"/>
      <w:lvlText w:val="%1)"/>
      <w:lvlJc w:val="left"/>
      <w:pPr>
        <w:ind w:left="360" w:hanging="360"/>
      </w:pPr>
      <w:rPr>
        <w:rFonts w:hint="default"/>
        <w:b w:val="0"/>
      </w:r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15" w15:restartNumberingAfterBreak="0">
    <w:nsid w:val="278425DC"/>
    <w:multiLevelType w:val="multilevel"/>
    <w:tmpl w:val="CC0C76E4"/>
    <w:lvl w:ilvl="0">
      <w:start w:val="1"/>
      <w:numFmt w:val="decimal"/>
      <w:lvlText w:val="%1."/>
      <w:lvlJc w:val="left"/>
      <w:pPr>
        <w:ind w:left="360" w:hanging="360"/>
      </w:pPr>
      <w:rPr>
        <w:b/>
        <w:color w:val="auto"/>
      </w:rPr>
    </w:lvl>
    <w:lvl w:ilvl="1">
      <w:start w:val="1"/>
      <w:numFmt w:val="decimal"/>
      <w:isLgl/>
      <w:lvlText w:val="%1.%2."/>
      <w:lvlJc w:val="left"/>
      <w:pPr>
        <w:ind w:left="360" w:hanging="360"/>
      </w:pPr>
      <w:rPr>
        <w:rFonts w:hint="default"/>
        <w:b/>
      </w:rPr>
    </w:lvl>
    <w:lvl w:ilvl="2">
      <w:start w:val="1"/>
      <w:numFmt w:val="decimal"/>
      <w:isLgl/>
      <w:lvlText w:val="%1.%2.%3."/>
      <w:lvlJc w:val="left"/>
      <w:pPr>
        <w:ind w:left="720" w:hanging="720"/>
      </w:pPr>
      <w:rPr>
        <w:rFonts w:hint="default"/>
        <w:b/>
      </w:rPr>
    </w:lvl>
    <w:lvl w:ilvl="3">
      <w:start w:val="1"/>
      <w:numFmt w:val="decimal"/>
      <w:isLgl/>
      <w:lvlText w:val="%1.%2.%3.%4."/>
      <w:lvlJc w:val="left"/>
      <w:pPr>
        <w:ind w:left="720" w:hanging="720"/>
      </w:pPr>
      <w:rPr>
        <w:rFonts w:hint="default"/>
        <w:b/>
      </w:rPr>
    </w:lvl>
    <w:lvl w:ilvl="4">
      <w:start w:val="1"/>
      <w:numFmt w:val="decimal"/>
      <w:isLgl/>
      <w:lvlText w:val="%1.%2.%3.%4.%5."/>
      <w:lvlJc w:val="left"/>
      <w:pPr>
        <w:ind w:left="1080" w:hanging="1080"/>
      </w:pPr>
      <w:rPr>
        <w:rFonts w:hint="default"/>
        <w:b/>
      </w:rPr>
    </w:lvl>
    <w:lvl w:ilvl="5">
      <w:start w:val="1"/>
      <w:numFmt w:val="decimal"/>
      <w:isLgl/>
      <w:lvlText w:val="%1.%2.%3.%4.%5.%6."/>
      <w:lvlJc w:val="left"/>
      <w:pPr>
        <w:ind w:left="1080" w:hanging="1080"/>
      </w:pPr>
      <w:rPr>
        <w:rFonts w:hint="default"/>
        <w:b/>
      </w:rPr>
    </w:lvl>
    <w:lvl w:ilvl="6">
      <w:start w:val="1"/>
      <w:numFmt w:val="decimal"/>
      <w:isLgl/>
      <w:lvlText w:val="%1.%2.%3.%4.%5.%6.%7."/>
      <w:lvlJc w:val="left"/>
      <w:pPr>
        <w:ind w:left="1080" w:hanging="1080"/>
      </w:pPr>
      <w:rPr>
        <w:rFonts w:hint="default"/>
        <w:b/>
      </w:rPr>
    </w:lvl>
    <w:lvl w:ilvl="7">
      <w:start w:val="1"/>
      <w:numFmt w:val="decimal"/>
      <w:isLgl/>
      <w:lvlText w:val="%1.%2.%3.%4.%5.%6.%7.%8."/>
      <w:lvlJc w:val="left"/>
      <w:pPr>
        <w:ind w:left="1440" w:hanging="1440"/>
      </w:pPr>
      <w:rPr>
        <w:rFonts w:hint="default"/>
        <w:b/>
      </w:rPr>
    </w:lvl>
    <w:lvl w:ilvl="8">
      <w:start w:val="1"/>
      <w:numFmt w:val="decimal"/>
      <w:isLgl/>
      <w:lvlText w:val="%1.%2.%3.%4.%5.%6.%7.%8.%9."/>
      <w:lvlJc w:val="left"/>
      <w:pPr>
        <w:ind w:left="1440" w:hanging="1440"/>
      </w:pPr>
      <w:rPr>
        <w:rFonts w:hint="default"/>
        <w:b/>
      </w:rPr>
    </w:lvl>
  </w:abstractNum>
  <w:abstractNum w:abstractNumId="16" w15:restartNumberingAfterBreak="0">
    <w:nsid w:val="2A897DBC"/>
    <w:multiLevelType w:val="hybridMultilevel"/>
    <w:tmpl w:val="EE6893F6"/>
    <w:lvl w:ilvl="0" w:tplc="240A0001">
      <w:start w:val="1"/>
      <w:numFmt w:val="bullet"/>
      <w:lvlText w:val=""/>
      <w:lvlJc w:val="left"/>
      <w:pPr>
        <w:ind w:left="360" w:hanging="360"/>
      </w:pPr>
      <w:rPr>
        <w:rFonts w:ascii="Symbol" w:hAnsi="Symbol" w:hint="default"/>
      </w:rPr>
    </w:lvl>
    <w:lvl w:ilvl="1" w:tplc="240A0001">
      <w:start w:val="1"/>
      <w:numFmt w:val="bullet"/>
      <w:lvlText w:val=""/>
      <w:lvlJc w:val="left"/>
      <w:pPr>
        <w:ind w:left="1080" w:hanging="360"/>
      </w:pPr>
      <w:rPr>
        <w:rFonts w:ascii="Symbol" w:hAnsi="Symbol"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17" w15:restartNumberingAfterBreak="0">
    <w:nsid w:val="2BA92893"/>
    <w:multiLevelType w:val="hybridMultilevel"/>
    <w:tmpl w:val="6E08BFAC"/>
    <w:lvl w:ilvl="0" w:tplc="240A0001">
      <w:start w:val="1"/>
      <w:numFmt w:val="bullet"/>
      <w:lvlText w:val=""/>
      <w:lvlJc w:val="left"/>
      <w:pPr>
        <w:ind w:left="380" w:hanging="360"/>
      </w:pPr>
      <w:rPr>
        <w:rFonts w:ascii="Symbol" w:hAnsi="Symbol" w:hint="default"/>
      </w:rPr>
    </w:lvl>
    <w:lvl w:ilvl="1" w:tplc="240A0003">
      <w:start w:val="1"/>
      <w:numFmt w:val="bullet"/>
      <w:lvlText w:val="o"/>
      <w:lvlJc w:val="left"/>
      <w:pPr>
        <w:ind w:left="1100" w:hanging="360"/>
      </w:pPr>
      <w:rPr>
        <w:rFonts w:ascii="Courier New" w:hAnsi="Courier New" w:cs="Courier New" w:hint="default"/>
      </w:rPr>
    </w:lvl>
    <w:lvl w:ilvl="2" w:tplc="240A0005" w:tentative="1">
      <w:start w:val="1"/>
      <w:numFmt w:val="bullet"/>
      <w:lvlText w:val=""/>
      <w:lvlJc w:val="left"/>
      <w:pPr>
        <w:ind w:left="1820" w:hanging="360"/>
      </w:pPr>
      <w:rPr>
        <w:rFonts w:ascii="Wingdings" w:hAnsi="Wingdings" w:hint="default"/>
      </w:rPr>
    </w:lvl>
    <w:lvl w:ilvl="3" w:tplc="240A0001" w:tentative="1">
      <w:start w:val="1"/>
      <w:numFmt w:val="bullet"/>
      <w:lvlText w:val=""/>
      <w:lvlJc w:val="left"/>
      <w:pPr>
        <w:ind w:left="2540" w:hanging="360"/>
      </w:pPr>
      <w:rPr>
        <w:rFonts w:ascii="Symbol" w:hAnsi="Symbol" w:hint="default"/>
      </w:rPr>
    </w:lvl>
    <w:lvl w:ilvl="4" w:tplc="240A0003" w:tentative="1">
      <w:start w:val="1"/>
      <w:numFmt w:val="bullet"/>
      <w:lvlText w:val="o"/>
      <w:lvlJc w:val="left"/>
      <w:pPr>
        <w:ind w:left="3260" w:hanging="360"/>
      </w:pPr>
      <w:rPr>
        <w:rFonts w:ascii="Courier New" w:hAnsi="Courier New" w:cs="Courier New" w:hint="default"/>
      </w:rPr>
    </w:lvl>
    <w:lvl w:ilvl="5" w:tplc="240A0005" w:tentative="1">
      <w:start w:val="1"/>
      <w:numFmt w:val="bullet"/>
      <w:lvlText w:val=""/>
      <w:lvlJc w:val="left"/>
      <w:pPr>
        <w:ind w:left="3980" w:hanging="360"/>
      </w:pPr>
      <w:rPr>
        <w:rFonts w:ascii="Wingdings" w:hAnsi="Wingdings" w:hint="default"/>
      </w:rPr>
    </w:lvl>
    <w:lvl w:ilvl="6" w:tplc="240A0001" w:tentative="1">
      <w:start w:val="1"/>
      <w:numFmt w:val="bullet"/>
      <w:lvlText w:val=""/>
      <w:lvlJc w:val="left"/>
      <w:pPr>
        <w:ind w:left="4700" w:hanging="360"/>
      </w:pPr>
      <w:rPr>
        <w:rFonts w:ascii="Symbol" w:hAnsi="Symbol" w:hint="default"/>
      </w:rPr>
    </w:lvl>
    <w:lvl w:ilvl="7" w:tplc="240A0003" w:tentative="1">
      <w:start w:val="1"/>
      <w:numFmt w:val="bullet"/>
      <w:lvlText w:val="o"/>
      <w:lvlJc w:val="left"/>
      <w:pPr>
        <w:ind w:left="5420" w:hanging="360"/>
      </w:pPr>
      <w:rPr>
        <w:rFonts w:ascii="Courier New" w:hAnsi="Courier New" w:cs="Courier New" w:hint="default"/>
      </w:rPr>
    </w:lvl>
    <w:lvl w:ilvl="8" w:tplc="240A0005" w:tentative="1">
      <w:start w:val="1"/>
      <w:numFmt w:val="bullet"/>
      <w:lvlText w:val=""/>
      <w:lvlJc w:val="left"/>
      <w:pPr>
        <w:ind w:left="6140" w:hanging="360"/>
      </w:pPr>
      <w:rPr>
        <w:rFonts w:ascii="Wingdings" w:hAnsi="Wingdings" w:hint="default"/>
      </w:rPr>
    </w:lvl>
  </w:abstractNum>
  <w:abstractNum w:abstractNumId="18" w15:restartNumberingAfterBreak="0">
    <w:nsid w:val="2CFA1F7C"/>
    <w:multiLevelType w:val="hybridMultilevel"/>
    <w:tmpl w:val="02B41FDA"/>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19" w15:restartNumberingAfterBreak="0">
    <w:nsid w:val="30D472C3"/>
    <w:multiLevelType w:val="hybridMultilevel"/>
    <w:tmpl w:val="F4EA3718"/>
    <w:lvl w:ilvl="0" w:tplc="240A0003">
      <w:start w:val="1"/>
      <w:numFmt w:val="bullet"/>
      <w:lvlText w:val="o"/>
      <w:lvlJc w:val="left"/>
      <w:pPr>
        <w:ind w:left="360" w:hanging="360"/>
      </w:pPr>
      <w:rPr>
        <w:rFonts w:ascii="Courier New" w:hAnsi="Courier New" w:cs="Courier New"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0" w15:restartNumberingAfterBreak="0">
    <w:nsid w:val="321E67D6"/>
    <w:multiLevelType w:val="hybridMultilevel"/>
    <w:tmpl w:val="DB527220"/>
    <w:lvl w:ilvl="0" w:tplc="240A0001">
      <w:start w:val="1"/>
      <w:numFmt w:val="bullet"/>
      <w:lvlText w:val=""/>
      <w:lvlJc w:val="left"/>
      <w:pPr>
        <w:ind w:left="360" w:hanging="360"/>
      </w:pPr>
      <w:rPr>
        <w:rFonts w:ascii="Symbol" w:hAnsi="Symbol" w:hint="default"/>
      </w:rPr>
    </w:lvl>
    <w:lvl w:ilvl="1" w:tplc="A53C5CAA">
      <w:numFmt w:val="bullet"/>
      <w:lvlText w:val="•"/>
      <w:lvlJc w:val="left"/>
      <w:pPr>
        <w:ind w:left="1536" w:hanging="816"/>
      </w:pPr>
      <w:rPr>
        <w:rFonts w:ascii="Arial" w:eastAsia="Calibri" w:hAnsi="Arial" w:cs="Arial"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52D2ADE"/>
    <w:multiLevelType w:val="hybridMultilevel"/>
    <w:tmpl w:val="6158C136"/>
    <w:lvl w:ilvl="0" w:tplc="240A0017">
      <w:start w:val="1"/>
      <w:numFmt w:val="lowerLetter"/>
      <w:lvlText w:val="%1)"/>
      <w:lvlJc w:val="left"/>
      <w:pPr>
        <w:ind w:left="502"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2" w15:restartNumberingAfterBreak="0">
    <w:nsid w:val="439D278C"/>
    <w:multiLevelType w:val="hybridMultilevel"/>
    <w:tmpl w:val="AE02F8FE"/>
    <w:lvl w:ilvl="0" w:tplc="DB468BB0">
      <w:start w:val="1"/>
      <w:numFmt w:val="lowerLetter"/>
      <w:lvlText w:val="%1)"/>
      <w:lvlJc w:val="left"/>
      <w:pPr>
        <w:ind w:left="720" w:hanging="360"/>
      </w:pPr>
      <w:rPr>
        <w:color w:val="auto"/>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3" w15:restartNumberingAfterBreak="0">
    <w:nsid w:val="47874786"/>
    <w:multiLevelType w:val="hybridMultilevel"/>
    <w:tmpl w:val="D6C272AC"/>
    <w:lvl w:ilvl="0" w:tplc="A3C89E86">
      <w:start w:val="1"/>
      <w:numFmt w:val="lowerLetter"/>
      <w:lvlText w:val="%1)"/>
      <w:lvlJc w:val="left"/>
      <w:pPr>
        <w:ind w:left="360" w:hanging="360"/>
      </w:pPr>
      <w:rPr>
        <w:b w:val="0"/>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4" w15:restartNumberingAfterBreak="0">
    <w:nsid w:val="551133C1"/>
    <w:multiLevelType w:val="hybridMultilevel"/>
    <w:tmpl w:val="0DC46AF6"/>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5" w15:restartNumberingAfterBreak="0">
    <w:nsid w:val="56DF6205"/>
    <w:multiLevelType w:val="multilevel"/>
    <w:tmpl w:val="0C0A001F"/>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612"/>
        </w:tabs>
        <w:ind w:left="612" w:hanging="432"/>
      </w:pPr>
      <w:rPr>
        <w:rFonts w:cs="Times New Roman"/>
      </w:rPr>
    </w:lvl>
    <w:lvl w:ilvl="2">
      <w:start w:val="1"/>
      <w:numFmt w:val="decimal"/>
      <w:lvlText w:val="%1.%2.%3."/>
      <w:lvlJc w:val="left"/>
      <w:pPr>
        <w:tabs>
          <w:tab w:val="num" w:pos="1620"/>
        </w:tabs>
        <w:ind w:left="140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26" w15:restartNumberingAfterBreak="0">
    <w:nsid w:val="58963794"/>
    <w:multiLevelType w:val="hybridMultilevel"/>
    <w:tmpl w:val="B27A98B0"/>
    <w:lvl w:ilvl="0" w:tplc="240A0017">
      <w:start w:val="1"/>
      <w:numFmt w:val="lowerLetter"/>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7" w15:restartNumberingAfterBreak="0">
    <w:nsid w:val="5CA01F37"/>
    <w:multiLevelType w:val="hybridMultilevel"/>
    <w:tmpl w:val="6DA4926C"/>
    <w:lvl w:ilvl="0" w:tplc="240A0003">
      <w:start w:val="1"/>
      <w:numFmt w:val="bullet"/>
      <w:lvlText w:val="o"/>
      <w:lvlJc w:val="left"/>
      <w:pPr>
        <w:ind w:left="720" w:hanging="360"/>
      </w:pPr>
      <w:rPr>
        <w:rFonts w:ascii="Courier New" w:hAnsi="Courier New" w:cs="Courier New" w:hint="default"/>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8" w15:restartNumberingAfterBreak="0">
    <w:nsid w:val="5E070428"/>
    <w:multiLevelType w:val="multilevel"/>
    <w:tmpl w:val="3B5206D2"/>
    <w:lvl w:ilvl="0">
      <w:numFmt w:val="bullet"/>
      <w:lvlText w:val="-"/>
      <w:lvlJc w:val="left"/>
      <w:pPr>
        <w:ind w:left="360" w:hanging="360"/>
      </w:pPr>
      <w:rPr>
        <w:rFonts w:ascii="Times New Roman" w:eastAsia="Times New Roman" w:hAnsi="Times New Roman" w:cs="Times New Roman" w:hint="default"/>
        <w:sz w:val="24"/>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29" w15:restartNumberingAfterBreak="0">
    <w:nsid w:val="607774DA"/>
    <w:multiLevelType w:val="hybridMultilevel"/>
    <w:tmpl w:val="06AC4E0C"/>
    <w:lvl w:ilvl="0" w:tplc="240A0017">
      <w:start w:val="1"/>
      <w:numFmt w:val="lowerLetter"/>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30" w15:restartNumberingAfterBreak="0">
    <w:nsid w:val="63A2050F"/>
    <w:multiLevelType w:val="hybridMultilevel"/>
    <w:tmpl w:val="673A995C"/>
    <w:lvl w:ilvl="0" w:tplc="240A0003">
      <w:start w:val="1"/>
      <w:numFmt w:val="bullet"/>
      <w:lvlText w:val="o"/>
      <w:lvlJc w:val="left"/>
      <w:pPr>
        <w:ind w:left="720" w:hanging="360"/>
      </w:pPr>
      <w:rPr>
        <w:rFonts w:ascii="Courier New" w:hAnsi="Courier New" w:cs="Courier New"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1" w15:restartNumberingAfterBreak="0">
    <w:nsid w:val="66C1457B"/>
    <w:multiLevelType w:val="multilevel"/>
    <w:tmpl w:val="8410C08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67DE0799"/>
    <w:multiLevelType w:val="hybridMultilevel"/>
    <w:tmpl w:val="5F6E74EA"/>
    <w:lvl w:ilvl="0" w:tplc="240A001B">
      <w:start w:val="1"/>
      <w:numFmt w:val="lowerRoman"/>
      <w:lvlText w:val="%1."/>
      <w:lvlJc w:val="righ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3" w15:restartNumberingAfterBreak="0">
    <w:nsid w:val="699D78BB"/>
    <w:multiLevelType w:val="hybridMultilevel"/>
    <w:tmpl w:val="0EDC8140"/>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34" w15:restartNumberingAfterBreak="0">
    <w:nsid w:val="6A161E59"/>
    <w:multiLevelType w:val="hybridMultilevel"/>
    <w:tmpl w:val="0B12EFA2"/>
    <w:lvl w:ilvl="0" w:tplc="240A0017">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5" w15:restartNumberingAfterBreak="0">
    <w:nsid w:val="6D7740FF"/>
    <w:multiLevelType w:val="hybridMultilevel"/>
    <w:tmpl w:val="8D963E2E"/>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36" w15:restartNumberingAfterBreak="0">
    <w:nsid w:val="6E934984"/>
    <w:multiLevelType w:val="hybridMultilevel"/>
    <w:tmpl w:val="509E0F76"/>
    <w:lvl w:ilvl="0" w:tplc="240A0017">
      <w:start w:val="1"/>
      <w:numFmt w:val="lowerLetter"/>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37" w15:restartNumberingAfterBreak="0">
    <w:nsid w:val="6EB576DF"/>
    <w:multiLevelType w:val="hybridMultilevel"/>
    <w:tmpl w:val="52029FF0"/>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38" w15:restartNumberingAfterBreak="0">
    <w:nsid w:val="76C94C03"/>
    <w:multiLevelType w:val="multilevel"/>
    <w:tmpl w:val="0C0A001D"/>
    <w:styleLink w:val="Estilo1"/>
    <w:lvl w:ilvl="0">
      <w:start w:val="1"/>
      <w:numFmt w:val="lowerRoman"/>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9" w15:restartNumberingAfterBreak="0">
    <w:nsid w:val="77A6689F"/>
    <w:multiLevelType w:val="hybridMultilevel"/>
    <w:tmpl w:val="C762A2B6"/>
    <w:lvl w:ilvl="0" w:tplc="240A0017">
      <w:start w:val="1"/>
      <w:numFmt w:val="lowerLetter"/>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40" w15:restartNumberingAfterBreak="0">
    <w:nsid w:val="7A375582"/>
    <w:multiLevelType w:val="hybridMultilevel"/>
    <w:tmpl w:val="282450CC"/>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16cid:durableId="678432656">
    <w:abstractNumId w:val="25"/>
  </w:num>
  <w:num w:numId="2" w16cid:durableId="1880435568">
    <w:abstractNumId w:val="38"/>
  </w:num>
  <w:num w:numId="3" w16cid:durableId="1362513633">
    <w:abstractNumId w:val="0"/>
  </w:num>
  <w:num w:numId="4" w16cid:durableId="865407780">
    <w:abstractNumId w:val="13"/>
  </w:num>
  <w:num w:numId="5" w16cid:durableId="2142072933">
    <w:abstractNumId w:val="11"/>
  </w:num>
  <w:num w:numId="6" w16cid:durableId="1895698361">
    <w:abstractNumId w:val="33"/>
  </w:num>
  <w:num w:numId="7" w16cid:durableId="2113162086">
    <w:abstractNumId w:val="2"/>
  </w:num>
  <w:num w:numId="8" w16cid:durableId="153033862">
    <w:abstractNumId w:val="12"/>
  </w:num>
  <w:num w:numId="9" w16cid:durableId="1967345544">
    <w:abstractNumId w:val="6"/>
  </w:num>
  <w:num w:numId="10" w16cid:durableId="981033342">
    <w:abstractNumId w:val="40"/>
  </w:num>
  <w:num w:numId="11" w16cid:durableId="1402868393">
    <w:abstractNumId w:val="9"/>
  </w:num>
  <w:num w:numId="12" w16cid:durableId="1006246652">
    <w:abstractNumId w:val="28"/>
  </w:num>
  <w:num w:numId="13" w16cid:durableId="978728261">
    <w:abstractNumId w:val="20"/>
  </w:num>
  <w:num w:numId="14" w16cid:durableId="78528817">
    <w:abstractNumId w:val="24"/>
  </w:num>
  <w:num w:numId="15" w16cid:durableId="1400783133">
    <w:abstractNumId w:val="35"/>
  </w:num>
  <w:num w:numId="16" w16cid:durableId="1938364807">
    <w:abstractNumId w:val="17"/>
  </w:num>
  <w:num w:numId="17" w16cid:durableId="1205092842">
    <w:abstractNumId w:val="27"/>
  </w:num>
  <w:num w:numId="18" w16cid:durableId="767624783">
    <w:abstractNumId w:val="37"/>
  </w:num>
  <w:num w:numId="19" w16cid:durableId="1220632725">
    <w:abstractNumId w:val="36"/>
  </w:num>
  <w:num w:numId="20" w16cid:durableId="2122873339">
    <w:abstractNumId w:val="21"/>
  </w:num>
  <w:num w:numId="21" w16cid:durableId="291398624">
    <w:abstractNumId w:val="1"/>
  </w:num>
  <w:num w:numId="22" w16cid:durableId="1656568277">
    <w:abstractNumId w:val="23"/>
  </w:num>
  <w:num w:numId="23" w16cid:durableId="693846277">
    <w:abstractNumId w:val="39"/>
  </w:num>
  <w:num w:numId="24" w16cid:durableId="626394639">
    <w:abstractNumId w:val="34"/>
  </w:num>
  <w:num w:numId="25" w16cid:durableId="1283152959">
    <w:abstractNumId w:val="15"/>
  </w:num>
  <w:num w:numId="26" w16cid:durableId="1833835843">
    <w:abstractNumId w:val="10"/>
  </w:num>
  <w:num w:numId="27" w16cid:durableId="1448355760">
    <w:abstractNumId w:val="22"/>
  </w:num>
  <w:num w:numId="28" w16cid:durableId="1302419666">
    <w:abstractNumId w:val="14"/>
  </w:num>
  <w:num w:numId="29" w16cid:durableId="996416780">
    <w:abstractNumId w:val="19"/>
  </w:num>
  <w:num w:numId="30" w16cid:durableId="679966915">
    <w:abstractNumId w:val="26"/>
  </w:num>
  <w:num w:numId="31" w16cid:durableId="388916171">
    <w:abstractNumId w:val="32"/>
  </w:num>
  <w:num w:numId="32" w16cid:durableId="1085344735">
    <w:abstractNumId w:val="8"/>
  </w:num>
  <w:num w:numId="33" w16cid:durableId="178398284">
    <w:abstractNumId w:val="29"/>
  </w:num>
  <w:num w:numId="34" w16cid:durableId="1256087641">
    <w:abstractNumId w:val="4"/>
  </w:num>
  <w:num w:numId="35" w16cid:durableId="432360488">
    <w:abstractNumId w:val="5"/>
  </w:num>
  <w:num w:numId="36" w16cid:durableId="184101424">
    <w:abstractNumId w:val="30"/>
  </w:num>
  <w:num w:numId="37" w16cid:durableId="1636792291">
    <w:abstractNumId w:val="7"/>
  </w:num>
  <w:num w:numId="38" w16cid:durableId="1738629813">
    <w:abstractNumId w:val="3"/>
  </w:num>
  <w:num w:numId="39" w16cid:durableId="1292438572">
    <w:abstractNumId w:val="18"/>
  </w:num>
  <w:num w:numId="40" w16cid:durableId="538974937">
    <w:abstractNumId w:val="16"/>
  </w:num>
  <w:num w:numId="41" w16cid:durableId="1220746012">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6D85"/>
    <w:rsid w:val="000001A2"/>
    <w:rsid w:val="000535CF"/>
    <w:rsid w:val="00057BF6"/>
    <w:rsid w:val="0006736C"/>
    <w:rsid w:val="000D7972"/>
    <w:rsid w:val="00104974"/>
    <w:rsid w:val="00155EDE"/>
    <w:rsid w:val="0019184F"/>
    <w:rsid w:val="001B5187"/>
    <w:rsid w:val="001B6FAC"/>
    <w:rsid w:val="001F6901"/>
    <w:rsid w:val="0021666A"/>
    <w:rsid w:val="002421BC"/>
    <w:rsid w:val="002725A6"/>
    <w:rsid w:val="002856F4"/>
    <w:rsid w:val="002B4F4A"/>
    <w:rsid w:val="002F5CF4"/>
    <w:rsid w:val="00324191"/>
    <w:rsid w:val="0036407F"/>
    <w:rsid w:val="003A5CFE"/>
    <w:rsid w:val="003C558F"/>
    <w:rsid w:val="00402C24"/>
    <w:rsid w:val="00404481"/>
    <w:rsid w:val="0040498E"/>
    <w:rsid w:val="00405030"/>
    <w:rsid w:val="00406D2B"/>
    <w:rsid w:val="0042608D"/>
    <w:rsid w:val="0043223D"/>
    <w:rsid w:val="004362B9"/>
    <w:rsid w:val="004544BD"/>
    <w:rsid w:val="004A02BF"/>
    <w:rsid w:val="004E4134"/>
    <w:rsid w:val="00544A86"/>
    <w:rsid w:val="0055785C"/>
    <w:rsid w:val="00575A0E"/>
    <w:rsid w:val="00596B88"/>
    <w:rsid w:val="005A5854"/>
    <w:rsid w:val="005E5F5C"/>
    <w:rsid w:val="0061423F"/>
    <w:rsid w:val="00691C2C"/>
    <w:rsid w:val="006B11D4"/>
    <w:rsid w:val="00721D02"/>
    <w:rsid w:val="007267D9"/>
    <w:rsid w:val="00733221"/>
    <w:rsid w:val="00733CE0"/>
    <w:rsid w:val="00737C32"/>
    <w:rsid w:val="0074729C"/>
    <w:rsid w:val="007A302E"/>
    <w:rsid w:val="007A4231"/>
    <w:rsid w:val="0082329A"/>
    <w:rsid w:val="008D31EC"/>
    <w:rsid w:val="008D7539"/>
    <w:rsid w:val="008F752E"/>
    <w:rsid w:val="009022C5"/>
    <w:rsid w:val="00947D83"/>
    <w:rsid w:val="00956EC8"/>
    <w:rsid w:val="009571FD"/>
    <w:rsid w:val="00957252"/>
    <w:rsid w:val="00963737"/>
    <w:rsid w:val="009A2823"/>
    <w:rsid w:val="009B6D85"/>
    <w:rsid w:val="009D6127"/>
    <w:rsid w:val="00A22892"/>
    <w:rsid w:val="00A41E5E"/>
    <w:rsid w:val="00A4351D"/>
    <w:rsid w:val="00A9232C"/>
    <w:rsid w:val="00AB1EA8"/>
    <w:rsid w:val="00AE0316"/>
    <w:rsid w:val="00BC0E75"/>
    <w:rsid w:val="00BF1C25"/>
    <w:rsid w:val="00C1199E"/>
    <w:rsid w:val="00C238CB"/>
    <w:rsid w:val="00C44B6F"/>
    <w:rsid w:val="00C87B40"/>
    <w:rsid w:val="00CC3647"/>
    <w:rsid w:val="00CC6142"/>
    <w:rsid w:val="00CC655A"/>
    <w:rsid w:val="00CD2FBB"/>
    <w:rsid w:val="00DA0C0E"/>
    <w:rsid w:val="00DA579F"/>
    <w:rsid w:val="00DB3370"/>
    <w:rsid w:val="00DF61BB"/>
    <w:rsid w:val="00E03CCC"/>
    <w:rsid w:val="00E36D12"/>
    <w:rsid w:val="00E72276"/>
    <w:rsid w:val="00ED4FA7"/>
    <w:rsid w:val="00ED59E9"/>
    <w:rsid w:val="00EF003D"/>
    <w:rsid w:val="00F302F5"/>
    <w:rsid w:val="00F3356D"/>
    <w:rsid w:val="00F343F5"/>
    <w:rsid w:val="00F67F4C"/>
    <w:rsid w:val="00FA59FB"/>
    <w:rsid w:val="00FC4260"/>
    <w:rsid w:val="00FE48A7"/>
    <w:rsid w:val="3BF1C58A"/>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255A74"/>
  <w15:chartTrackingRefBased/>
  <w15:docId w15:val="{542C7A95-EB57-49ED-8ECD-A1F12FD965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qFormat/>
    <w:rsid w:val="009B6D8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semiHidden/>
    <w:unhideWhenUsed/>
    <w:qFormat/>
    <w:rsid w:val="009B6D8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semiHidden/>
    <w:unhideWhenUsed/>
    <w:qFormat/>
    <w:rsid w:val="009B6D85"/>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nhideWhenUsed/>
    <w:qFormat/>
    <w:rsid w:val="009B6D85"/>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9B6D85"/>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9B6D85"/>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9B6D85"/>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9B6D85"/>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9B6D85"/>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9B6D85"/>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9B6D85"/>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semiHidden/>
    <w:rsid w:val="009B6D85"/>
    <w:rPr>
      <w:rFonts w:eastAsiaTheme="majorEastAsia" w:cstheme="majorBidi"/>
      <w:color w:val="0F4761" w:themeColor="accent1" w:themeShade="BF"/>
      <w:sz w:val="28"/>
      <w:szCs w:val="28"/>
    </w:rPr>
  </w:style>
  <w:style w:type="character" w:customStyle="1" w:styleId="Ttulo4Car">
    <w:name w:val="Título 4 Car"/>
    <w:basedOn w:val="Fuentedeprrafopredeter"/>
    <w:link w:val="Ttulo4"/>
    <w:rsid w:val="009B6D85"/>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9B6D85"/>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9B6D85"/>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9B6D85"/>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9B6D85"/>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9B6D85"/>
    <w:rPr>
      <w:rFonts w:eastAsiaTheme="majorEastAsia" w:cstheme="majorBidi"/>
      <w:color w:val="272727" w:themeColor="text1" w:themeTint="D8"/>
    </w:rPr>
  </w:style>
  <w:style w:type="paragraph" w:styleId="Ttulo">
    <w:name w:val="Title"/>
    <w:basedOn w:val="Normal"/>
    <w:next w:val="Normal"/>
    <w:link w:val="TtuloCar"/>
    <w:qFormat/>
    <w:rsid w:val="009B6D8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rsid w:val="009B6D85"/>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9B6D85"/>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9B6D85"/>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9B6D85"/>
    <w:pPr>
      <w:spacing w:before="160"/>
      <w:jc w:val="center"/>
    </w:pPr>
    <w:rPr>
      <w:i/>
      <w:iCs/>
      <w:color w:val="404040" w:themeColor="text1" w:themeTint="BF"/>
    </w:rPr>
  </w:style>
  <w:style w:type="character" w:customStyle="1" w:styleId="CitaCar">
    <w:name w:val="Cita Car"/>
    <w:basedOn w:val="Fuentedeprrafopredeter"/>
    <w:link w:val="Cita"/>
    <w:uiPriority w:val="29"/>
    <w:rsid w:val="009B6D85"/>
    <w:rPr>
      <w:i/>
      <w:iCs/>
      <w:color w:val="404040" w:themeColor="text1" w:themeTint="BF"/>
    </w:rPr>
  </w:style>
  <w:style w:type="paragraph" w:styleId="Prrafodelista">
    <w:name w:val="List Paragraph"/>
    <w:aliases w:val="EY EPM - Lista"/>
    <w:basedOn w:val="Normal"/>
    <w:uiPriority w:val="34"/>
    <w:qFormat/>
    <w:rsid w:val="009B6D85"/>
    <w:pPr>
      <w:ind w:left="720"/>
      <w:contextualSpacing/>
    </w:pPr>
  </w:style>
  <w:style w:type="character" w:styleId="nfasisintenso">
    <w:name w:val="Intense Emphasis"/>
    <w:basedOn w:val="Fuentedeprrafopredeter"/>
    <w:uiPriority w:val="21"/>
    <w:qFormat/>
    <w:rsid w:val="009B6D85"/>
    <w:rPr>
      <w:i/>
      <w:iCs/>
      <w:color w:val="0F4761" w:themeColor="accent1" w:themeShade="BF"/>
    </w:rPr>
  </w:style>
  <w:style w:type="paragraph" w:styleId="Citadestacada">
    <w:name w:val="Intense Quote"/>
    <w:basedOn w:val="Normal"/>
    <w:next w:val="Normal"/>
    <w:link w:val="CitadestacadaCar"/>
    <w:uiPriority w:val="30"/>
    <w:qFormat/>
    <w:rsid w:val="009B6D8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9B6D85"/>
    <w:rPr>
      <w:i/>
      <w:iCs/>
      <w:color w:val="0F4761" w:themeColor="accent1" w:themeShade="BF"/>
    </w:rPr>
  </w:style>
  <w:style w:type="character" w:styleId="Referenciaintensa">
    <w:name w:val="Intense Reference"/>
    <w:basedOn w:val="Fuentedeprrafopredeter"/>
    <w:uiPriority w:val="32"/>
    <w:qFormat/>
    <w:rsid w:val="009B6D85"/>
    <w:rPr>
      <w:b/>
      <w:bCs/>
      <w:smallCaps/>
      <w:color w:val="0F4761" w:themeColor="accent1" w:themeShade="BF"/>
      <w:spacing w:val="5"/>
    </w:rPr>
  </w:style>
  <w:style w:type="paragraph" w:styleId="Encabezado">
    <w:name w:val="header"/>
    <w:basedOn w:val="Normal"/>
    <w:link w:val="EncabezadoCar"/>
    <w:unhideWhenUsed/>
    <w:rsid w:val="00057BF6"/>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057BF6"/>
  </w:style>
  <w:style w:type="paragraph" w:styleId="Piedepgina">
    <w:name w:val="footer"/>
    <w:basedOn w:val="Normal"/>
    <w:link w:val="PiedepginaCar"/>
    <w:uiPriority w:val="99"/>
    <w:unhideWhenUsed/>
    <w:rsid w:val="00057BF6"/>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057BF6"/>
  </w:style>
  <w:style w:type="numbering" w:customStyle="1" w:styleId="Sinlista1">
    <w:name w:val="Sin lista1"/>
    <w:next w:val="Sinlista"/>
    <w:uiPriority w:val="99"/>
    <w:semiHidden/>
    <w:unhideWhenUsed/>
    <w:rsid w:val="004362B9"/>
  </w:style>
  <w:style w:type="paragraph" w:styleId="Textoindependiente">
    <w:name w:val="Body Text"/>
    <w:basedOn w:val="Normal"/>
    <w:link w:val="TextoindependienteCar"/>
    <w:rsid w:val="004362B9"/>
    <w:pPr>
      <w:spacing w:after="0" w:line="240" w:lineRule="auto"/>
      <w:jc w:val="both"/>
    </w:pPr>
    <w:rPr>
      <w:rFonts w:ascii="Arial" w:eastAsia="Times New Roman" w:hAnsi="Arial" w:cs="Times New Roman"/>
      <w:kern w:val="0"/>
      <w:sz w:val="24"/>
      <w:szCs w:val="20"/>
      <w:lang w:eastAsia="es-ES"/>
      <w14:ligatures w14:val="none"/>
    </w:rPr>
  </w:style>
  <w:style w:type="character" w:customStyle="1" w:styleId="TextoindependienteCar">
    <w:name w:val="Texto independiente Car"/>
    <w:basedOn w:val="Fuentedeprrafopredeter"/>
    <w:link w:val="Textoindependiente"/>
    <w:rsid w:val="004362B9"/>
    <w:rPr>
      <w:rFonts w:ascii="Arial" w:eastAsia="Times New Roman" w:hAnsi="Arial" w:cs="Times New Roman"/>
      <w:kern w:val="0"/>
      <w:sz w:val="24"/>
      <w:szCs w:val="20"/>
      <w:lang w:eastAsia="es-ES"/>
      <w14:ligatures w14:val="none"/>
    </w:rPr>
  </w:style>
  <w:style w:type="character" w:styleId="Nmerodepgina">
    <w:name w:val="page number"/>
    <w:basedOn w:val="Fuentedeprrafopredeter"/>
    <w:rsid w:val="004362B9"/>
  </w:style>
  <w:style w:type="paragraph" w:styleId="Textonotapie">
    <w:name w:val="footnote text"/>
    <w:basedOn w:val="Normal"/>
    <w:link w:val="TextonotapieCar"/>
    <w:rsid w:val="004362B9"/>
    <w:pPr>
      <w:spacing w:after="0" w:line="240" w:lineRule="auto"/>
    </w:pPr>
    <w:rPr>
      <w:rFonts w:ascii="Times New Roman" w:eastAsia="Times New Roman" w:hAnsi="Times New Roman" w:cs="Times New Roman"/>
      <w:kern w:val="0"/>
      <w:sz w:val="20"/>
      <w:szCs w:val="20"/>
      <w:lang w:val="es-ES" w:eastAsia="es-ES"/>
      <w14:ligatures w14:val="none"/>
    </w:rPr>
  </w:style>
  <w:style w:type="character" w:customStyle="1" w:styleId="TextonotapieCar">
    <w:name w:val="Texto nota pie Car"/>
    <w:basedOn w:val="Fuentedeprrafopredeter"/>
    <w:link w:val="Textonotapie"/>
    <w:rsid w:val="004362B9"/>
    <w:rPr>
      <w:rFonts w:ascii="Times New Roman" w:eastAsia="Times New Roman" w:hAnsi="Times New Roman" w:cs="Times New Roman"/>
      <w:kern w:val="0"/>
      <w:sz w:val="20"/>
      <w:szCs w:val="20"/>
      <w:lang w:val="es-ES" w:eastAsia="es-ES"/>
      <w14:ligatures w14:val="none"/>
    </w:rPr>
  </w:style>
  <w:style w:type="character" w:styleId="Refdenotaalpie">
    <w:name w:val="footnote reference"/>
    <w:basedOn w:val="Fuentedeprrafopredeter"/>
    <w:rsid w:val="004362B9"/>
    <w:rPr>
      <w:vertAlign w:val="superscript"/>
    </w:rPr>
  </w:style>
  <w:style w:type="character" w:styleId="Refdecomentario">
    <w:name w:val="annotation reference"/>
    <w:basedOn w:val="Fuentedeprrafopredeter"/>
    <w:uiPriority w:val="99"/>
    <w:rsid w:val="004362B9"/>
    <w:rPr>
      <w:sz w:val="16"/>
      <w:szCs w:val="16"/>
    </w:rPr>
  </w:style>
  <w:style w:type="paragraph" w:styleId="Textocomentario">
    <w:name w:val="annotation text"/>
    <w:basedOn w:val="Normal"/>
    <w:link w:val="TextocomentarioCar"/>
    <w:uiPriority w:val="99"/>
    <w:rsid w:val="004362B9"/>
    <w:pPr>
      <w:spacing w:after="0" w:line="240" w:lineRule="auto"/>
    </w:pPr>
    <w:rPr>
      <w:rFonts w:ascii="Times New Roman" w:eastAsia="Times New Roman" w:hAnsi="Times New Roman" w:cs="Times New Roman"/>
      <w:kern w:val="0"/>
      <w:sz w:val="20"/>
      <w:szCs w:val="20"/>
      <w:lang w:val="es-ES" w:eastAsia="es-ES"/>
      <w14:ligatures w14:val="none"/>
    </w:rPr>
  </w:style>
  <w:style w:type="character" w:customStyle="1" w:styleId="TextocomentarioCar">
    <w:name w:val="Texto comentario Car"/>
    <w:basedOn w:val="Fuentedeprrafopredeter"/>
    <w:link w:val="Textocomentario"/>
    <w:uiPriority w:val="99"/>
    <w:rsid w:val="004362B9"/>
    <w:rPr>
      <w:rFonts w:ascii="Times New Roman" w:eastAsia="Times New Roman" w:hAnsi="Times New Roman" w:cs="Times New Roman"/>
      <w:kern w:val="0"/>
      <w:sz w:val="20"/>
      <w:szCs w:val="20"/>
      <w:lang w:val="es-ES" w:eastAsia="es-ES"/>
      <w14:ligatures w14:val="none"/>
    </w:rPr>
  </w:style>
  <w:style w:type="paragraph" w:styleId="Asuntodelcomentario">
    <w:name w:val="annotation subject"/>
    <w:basedOn w:val="Textocomentario"/>
    <w:next w:val="Textocomentario"/>
    <w:link w:val="AsuntodelcomentarioCar"/>
    <w:rsid w:val="004362B9"/>
    <w:rPr>
      <w:b/>
      <w:bCs/>
    </w:rPr>
  </w:style>
  <w:style w:type="character" w:customStyle="1" w:styleId="AsuntodelcomentarioCar">
    <w:name w:val="Asunto del comentario Car"/>
    <w:basedOn w:val="TextocomentarioCar"/>
    <w:link w:val="Asuntodelcomentario"/>
    <w:rsid w:val="004362B9"/>
    <w:rPr>
      <w:rFonts w:ascii="Times New Roman" w:eastAsia="Times New Roman" w:hAnsi="Times New Roman" w:cs="Times New Roman"/>
      <w:b/>
      <w:bCs/>
      <w:kern w:val="0"/>
      <w:sz w:val="20"/>
      <w:szCs w:val="20"/>
      <w:lang w:val="es-ES" w:eastAsia="es-ES"/>
      <w14:ligatures w14:val="none"/>
    </w:rPr>
  </w:style>
  <w:style w:type="paragraph" w:styleId="Textodeglobo">
    <w:name w:val="Balloon Text"/>
    <w:basedOn w:val="Normal"/>
    <w:link w:val="TextodegloboCar"/>
    <w:rsid w:val="004362B9"/>
    <w:pPr>
      <w:spacing w:after="0" w:line="240" w:lineRule="auto"/>
    </w:pPr>
    <w:rPr>
      <w:rFonts w:ascii="Tahoma" w:eastAsia="Times New Roman" w:hAnsi="Tahoma" w:cs="Tahoma"/>
      <w:kern w:val="0"/>
      <w:sz w:val="16"/>
      <w:szCs w:val="16"/>
      <w:lang w:val="es-ES" w:eastAsia="es-ES"/>
      <w14:ligatures w14:val="none"/>
    </w:rPr>
  </w:style>
  <w:style w:type="character" w:customStyle="1" w:styleId="TextodegloboCar">
    <w:name w:val="Texto de globo Car"/>
    <w:basedOn w:val="Fuentedeprrafopredeter"/>
    <w:link w:val="Textodeglobo"/>
    <w:rsid w:val="004362B9"/>
    <w:rPr>
      <w:rFonts w:ascii="Tahoma" w:eastAsia="Times New Roman" w:hAnsi="Tahoma" w:cs="Tahoma"/>
      <w:kern w:val="0"/>
      <w:sz w:val="16"/>
      <w:szCs w:val="16"/>
      <w:lang w:val="es-ES" w:eastAsia="es-ES"/>
      <w14:ligatures w14:val="none"/>
    </w:rPr>
  </w:style>
  <w:style w:type="paragraph" w:customStyle="1" w:styleId="Default">
    <w:name w:val="Default"/>
    <w:rsid w:val="004362B9"/>
    <w:pPr>
      <w:autoSpaceDE w:val="0"/>
      <w:autoSpaceDN w:val="0"/>
      <w:adjustRightInd w:val="0"/>
      <w:spacing w:after="0" w:line="240" w:lineRule="auto"/>
    </w:pPr>
    <w:rPr>
      <w:rFonts w:ascii="Times New Roman" w:eastAsia="Times New Roman" w:hAnsi="Times New Roman" w:cs="Times New Roman"/>
      <w:color w:val="000000"/>
      <w:kern w:val="0"/>
      <w:sz w:val="24"/>
      <w:szCs w:val="24"/>
      <w:lang w:eastAsia="es-CO"/>
      <w14:ligatures w14:val="none"/>
    </w:rPr>
  </w:style>
  <w:style w:type="paragraph" w:styleId="Sinespaciado">
    <w:name w:val="No Spacing"/>
    <w:uiPriority w:val="1"/>
    <w:qFormat/>
    <w:rsid w:val="004362B9"/>
    <w:pPr>
      <w:spacing w:after="0" w:line="240" w:lineRule="auto"/>
    </w:pPr>
    <w:rPr>
      <w:rFonts w:ascii="Times New Roman" w:eastAsia="Times New Roman" w:hAnsi="Times New Roman" w:cs="Times New Roman"/>
      <w:kern w:val="0"/>
      <w:sz w:val="20"/>
      <w:szCs w:val="20"/>
      <w:lang w:val="es-ES" w:eastAsia="es-CO"/>
      <w14:ligatures w14:val="none"/>
    </w:rPr>
  </w:style>
  <w:style w:type="numbering" w:customStyle="1" w:styleId="Estilo1">
    <w:name w:val="Estilo1"/>
    <w:rsid w:val="004362B9"/>
    <w:pPr>
      <w:numPr>
        <w:numId w:val="2"/>
      </w:numPr>
    </w:pPr>
  </w:style>
  <w:style w:type="paragraph" w:styleId="Lista">
    <w:name w:val="List"/>
    <w:basedOn w:val="Normal"/>
    <w:rsid w:val="004362B9"/>
    <w:pPr>
      <w:spacing w:after="0" w:line="240" w:lineRule="auto"/>
      <w:ind w:left="283" w:hanging="283"/>
      <w:contextualSpacing/>
    </w:pPr>
    <w:rPr>
      <w:rFonts w:ascii="Times New Roman" w:eastAsia="Times New Roman" w:hAnsi="Times New Roman" w:cs="Times New Roman"/>
      <w:kern w:val="0"/>
      <w:sz w:val="20"/>
      <w:szCs w:val="20"/>
      <w:lang w:val="es-ES" w:eastAsia="es-ES"/>
      <w14:ligatures w14:val="none"/>
    </w:rPr>
  </w:style>
  <w:style w:type="paragraph" w:styleId="Listaconvietas2">
    <w:name w:val="List Bullet 2"/>
    <w:basedOn w:val="Normal"/>
    <w:rsid w:val="004362B9"/>
    <w:pPr>
      <w:numPr>
        <w:numId w:val="3"/>
      </w:numPr>
      <w:spacing w:after="0" w:line="240" w:lineRule="auto"/>
      <w:contextualSpacing/>
    </w:pPr>
    <w:rPr>
      <w:rFonts w:ascii="Times New Roman" w:eastAsia="Times New Roman" w:hAnsi="Times New Roman" w:cs="Times New Roman"/>
      <w:kern w:val="0"/>
      <w:sz w:val="20"/>
      <w:szCs w:val="20"/>
      <w:lang w:val="es-ES" w:eastAsia="es-ES"/>
      <w14:ligatures w14:val="none"/>
    </w:rPr>
  </w:style>
  <w:style w:type="paragraph" w:styleId="Continuarlista">
    <w:name w:val="List Continue"/>
    <w:basedOn w:val="Normal"/>
    <w:rsid w:val="004362B9"/>
    <w:pPr>
      <w:spacing w:after="120" w:line="240" w:lineRule="auto"/>
      <w:ind w:left="283"/>
      <w:contextualSpacing/>
    </w:pPr>
    <w:rPr>
      <w:rFonts w:ascii="Times New Roman" w:eastAsia="Times New Roman" w:hAnsi="Times New Roman" w:cs="Times New Roman"/>
      <w:kern w:val="0"/>
      <w:sz w:val="20"/>
      <w:szCs w:val="20"/>
      <w:lang w:val="es-ES" w:eastAsia="es-ES"/>
      <w14:ligatures w14:val="none"/>
    </w:rPr>
  </w:style>
  <w:style w:type="paragraph" w:styleId="Continuarlista2">
    <w:name w:val="List Continue 2"/>
    <w:basedOn w:val="Normal"/>
    <w:rsid w:val="004362B9"/>
    <w:pPr>
      <w:spacing w:after="120" w:line="240" w:lineRule="auto"/>
      <w:ind w:left="566"/>
      <w:contextualSpacing/>
    </w:pPr>
    <w:rPr>
      <w:rFonts w:ascii="Times New Roman" w:eastAsia="Times New Roman" w:hAnsi="Times New Roman" w:cs="Times New Roman"/>
      <w:kern w:val="0"/>
      <w:sz w:val="20"/>
      <w:szCs w:val="20"/>
      <w:lang w:val="es-ES" w:eastAsia="es-ES"/>
      <w14:ligatures w14:val="none"/>
    </w:rPr>
  </w:style>
  <w:style w:type="paragraph" w:styleId="Sangradetextonormal">
    <w:name w:val="Body Text Indent"/>
    <w:basedOn w:val="Normal"/>
    <w:link w:val="SangradetextonormalCar"/>
    <w:rsid w:val="004362B9"/>
    <w:pPr>
      <w:spacing w:after="120" w:line="240" w:lineRule="auto"/>
      <w:ind w:left="283"/>
    </w:pPr>
    <w:rPr>
      <w:rFonts w:ascii="Times New Roman" w:eastAsia="Times New Roman" w:hAnsi="Times New Roman" w:cs="Times New Roman"/>
      <w:kern w:val="0"/>
      <w:sz w:val="20"/>
      <w:szCs w:val="20"/>
      <w:lang w:val="es-ES" w:eastAsia="es-ES"/>
      <w14:ligatures w14:val="none"/>
    </w:rPr>
  </w:style>
  <w:style w:type="character" w:customStyle="1" w:styleId="SangradetextonormalCar">
    <w:name w:val="Sangría de texto normal Car"/>
    <w:basedOn w:val="Fuentedeprrafopredeter"/>
    <w:link w:val="Sangradetextonormal"/>
    <w:rsid w:val="004362B9"/>
    <w:rPr>
      <w:rFonts w:ascii="Times New Roman" w:eastAsia="Times New Roman" w:hAnsi="Times New Roman" w:cs="Times New Roman"/>
      <w:kern w:val="0"/>
      <w:sz w:val="20"/>
      <w:szCs w:val="20"/>
      <w:lang w:val="es-ES" w:eastAsia="es-ES"/>
      <w14:ligatures w14:val="none"/>
    </w:rPr>
  </w:style>
  <w:style w:type="paragraph" w:styleId="Textoindependienteprimerasangra2">
    <w:name w:val="Body Text First Indent 2"/>
    <w:basedOn w:val="Sangradetextonormal"/>
    <w:link w:val="Textoindependienteprimerasangra2Car"/>
    <w:rsid w:val="004362B9"/>
    <w:pPr>
      <w:spacing w:after="0"/>
      <w:ind w:left="360" w:firstLine="360"/>
    </w:pPr>
  </w:style>
  <w:style w:type="character" w:customStyle="1" w:styleId="Textoindependienteprimerasangra2Car">
    <w:name w:val="Texto independiente primera sangría 2 Car"/>
    <w:basedOn w:val="SangradetextonormalCar"/>
    <w:link w:val="Textoindependienteprimerasangra2"/>
    <w:rsid w:val="004362B9"/>
    <w:rPr>
      <w:rFonts w:ascii="Times New Roman" w:eastAsia="Times New Roman" w:hAnsi="Times New Roman" w:cs="Times New Roman"/>
      <w:kern w:val="0"/>
      <w:sz w:val="20"/>
      <w:szCs w:val="20"/>
      <w:lang w:val="es-ES" w:eastAsia="es-ES"/>
      <w14:ligatures w14:val="none"/>
    </w:rPr>
  </w:style>
  <w:style w:type="table" w:styleId="Tablaconcuadrcula">
    <w:name w:val="Table Grid"/>
    <w:basedOn w:val="Tablanormal"/>
    <w:rsid w:val="004362B9"/>
    <w:pPr>
      <w:spacing w:after="0" w:line="240" w:lineRule="auto"/>
    </w:pPr>
    <w:rPr>
      <w:rFonts w:ascii="Times New Roman" w:eastAsia="Times New Roman" w:hAnsi="Times New Roman" w:cs="Times New Roman"/>
      <w:kern w:val="0"/>
      <w:sz w:val="20"/>
      <w:szCs w:val="20"/>
      <w:lang w:eastAsia="es-CO"/>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uerpodeltexto">
    <w:name w:val="Cuerpo del texto_"/>
    <w:basedOn w:val="Fuentedeprrafopredeter"/>
    <w:link w:val="Cuerpodeltexto0"/>
    <w:locked/>
    <w:rsid w:val="004362B9"/>
    <w:rPr>
      <w:rFonts w:ascii="Calibri" w:eastAsia="Calibri" w:hAnsi="Calibri" w:cs="Calibri"/>
      <w:spacing w:val="2"/>
      <w:sz w:val="19"/>
      <w:szCs w:val="19"/>
      <w:shd w:val="clear" w:color="auto" w:fill="FFFFFF"/>
    </w:rPr>
  </w:style>
  <w:style w:type="paragraph" w:customStyle="1" w:styleId="Cuerpodeltexto0">
    <w:name w:val="Cuerpo del texto"/>
    <w:basedOn w:val="Normal"/>
    <w:link w:val="Cuerpodeltexto"/>
    <w:rsid w:val="004362B9"/>
    <w:pPr>
      <w:widowControl w:val="0"/>
      <w:shd w:val="clear" w:color="auto" w:fill="FFFFFF"/>
      <w:spacing w:before="360" w:after="240" w:line="269" w:lineRule="exact"/>
      <w:ind w:hanging="360"/>
      <w:jc w:val="both"/>
    </w:pPr>
    <w:rPr>
      <w:rFonts w:ascii="Calibri" w:eastAsia="Calibri" w:hAnsi="Calibri" w:cs="Calibri"/>
      <w:spacing w:val="2"/>
      <w:sz w:val="19"/>
      <w:szCs w:val="19"/>
    </w:rPr>
  </w:style>
  <w:style w:type="paragraph" w:styleId="Revisin">
    <w:name w:val="Revision"/>
    <w:hidden/>
    <w:uiPriority w:val="99"/>
    <w:semiHidden/>
    <w:rsid w:val="004362B9"/>
    <w:pPr>
      <w:spacing w:after="0" w:line="240" w:lineRule="auto"/>
    </w:pPr>
    <w:rPr>
      <w:rFonts w:ascii="Times New Roman" w:eastAsia="Times New Roman" w:hAnsi="Times New Roman" w:cs="Times New Roman"/>
      <w:kern w:val="0"/>
      <w:sz w:val="20"/>
      <w:szCs w:val="20"/>
      <w:lang w:val="es-ES" w:eastAsia="es-ES"/>
      <w14:ligatures w14:val="none"/>
    </w:rPr>
  </w:style>
  <w:style w:type="paragraph" w:styleId="NormalWeb">
    <w:name w:val="Normal (Web)"/>
    <w:basedOn w:val="Normal"/>
    <w:uiPriority w:val="99"/>
    <w:unhideWhenUsed/>
    <w:rsid w:val="004362B9"/>
    <w:pPr>
      <w:spacing w:before="100" w:beforeAutospacing="1" w:after="100" w:afterAutospacing="1" w:line="240" w:lineRule="auto"/>
    </w:pPr>
    <w:rPr>
      <w:rFonts w:ascii="Times New Roman" w:eastAsia="Times New Roman" w:hAnsi="Times New Roman" w:cs="Times New Roman"/>
      <w:kern w:val="0"/>
      <w:sz w:val="24"/>
      <w:szCs w:val="24"/>
      <w:lang w:eastAsia="es-CO"/>
      <w14:ligatures w14:val="none"/>
    </w:rPr>
  </w:style>
  <w:style w:type="character" w:customStyle="1" w:styleId="Ttulo50">
    <w:name w:val="Título #5_"/>
    <w:basedOn w:val="Fuentedeprrafopredeter"/>
    <w:link w:val="Ttulo51"/>
    <w:rsid w:val="004362B9"/>
    <w:rPr>
      <w:rFonts w:ascii="Calibri" w:eastAsia="Calibri" w:hAnsi="Calibri" w:cs="Calibri"/>
      <w:b/>
      <w:bCs/>
      <w:spacing w:val="1"/>
      <w:shd w:val="clear" w:color="auto" w:fill="FFFFFF"/>
    </w:rPr>
  </w:style>
  <w:style w:type="paragraph" w:customStyle="1" w:styleId="Ttulo51">
    <w:name w:val="Título #5"/>
    <w:basedOn w:val="Normal"/>
    <w:link w:val="Ttulo50"/>
    <w:rsid w:val="004362B9"/>
    <w:pPr>
      <w:widowControl w:val="0"/>
      <w:shd w:val="clear" w:color="auto" w:fill="FFFFFF"/>
      <w:spacing w:before="240" w:after="240" w:line="0" w:lineRule="atLeast"/>
      <w:ind w:hanging="360"/>
      <w:jc w:val="both"/>
      <w:outlineLvl w:val="4"/>
    </w:pPr>
    <w:rPr>
      <w:rFonts w:ascii="Calibri" w:eastAsia="Calibri" w:hAnsi="Calibri" w:cs="Calibri"/>
      <w:b/>
      <w:bCs/>
      <w:spacing w:val="1"/>
    </w:rPr>
  </w:style>
  <w:style w:type="paragraph" w:customStyle="1" w:styleId="CM913">
    <w:name w:val="CM9+13"/>
    <w:basedOn w:val="Default"/>
    <w:next w:val="Default"/>
    <w:uiPriority w:val="99"/>
    <w:rsid w:val="004362B9"/>
    <w:pPr>
      <w:spacing w:line="278" w:lineRule="atLeast"/>
    </w:pPr>
    <w:rPr>
      <w:rFonts w:ascii="Arial" w:hAnsi="Arial" w:cs="Arial"/>
      <w:color w:val="auto"/>
    </w:rPr>
  </w:style>
  <w:style w:type="character" w:styleId="Hipervnculo">
    <w:name w:val="Hyperlink"/>
    <w:basedOn w:val="Fuentedeprrafopredeter"/>
    <w:uiPriority w:val="99"/>
    <w:semiHidden/>
    <w:unhideWhenUsed/>
    <w:rsid w:val="004362B9"/>
    <w:rPr>
      <w:color w:val="0000FF"/>
      <w:u w:val="single"/>
    </w:rPr>
  </w:style>
  <w:style w:type="character" w:customStyle="1" w:styleId="il">
    <w:name w:val="il"/>
    <w:basedOn w:val="Fuentedeprrafopredeter"/>
    <w:rsid w:val="004362B9"/>
  </w:style>
  <w:style w:type="paragraph" w:styleId="Textoindependiente2">
    <w:name w:val="Body Text 2"/>
    <w:basedOn w:val="Normal"/>
    <w:link w:val="Textoindependiente2Car"/>
    <w:unhideWhenUsed/>
    <w:rsid w:val="004362B9"/>
    <w:pPr>
      <w:spacing w:after="120" w:line="480" w:lineRule="auto"/>
    </w:pPr>
    <w:rPr>
      <w:rFonts w:ascii="Times New Roman" w:eastAsia="Times New Roman" w:hAnsi="Times New Roman" w:cs="Times New Roman"/>
      <w:kern w:val="0"/>
      <w:sz w:val="20"/>
      <w:szCs w:val="20"/>
      <w:lang w:val="es-ES" w:eastAsia="es-ES"/>
      <w14:ligatures w14:val="none"/>
    </w:rPr>
  </w:style>
  <w:style w:type="character" w:customStyle="1" w:styleId="Textoindependiente2Car">
    <w:name w:val="Texto independiente 2 Car"/>
    <w:basedOn w:val="Fuentedeprrafopredeter"/>
    <w:link w:val="Textoindependiente2"/>
    <w:rsid w:val="004362B9"/>
    <w:rPr>
      <w:rFonts w:ascii="Times New Roman" w:eastAsia="Times New Roman" w:hAnsi="Times New Roman" w:cs="Times New Roman"/>
      <w:kern w:val="0"/>
      <w:sz w:val="20"/>
      <w:szCs w:val="20"/>
      <w:lang w:val="es-ES" w:eastAsia="es-ES"/>
      <w14:ligatures w14:val="none"/>
    </w:rPr>
  </w:style>
  <w:style w:type="paragraph" w:customStyle="1" w:styleId="CM129">
    <w:name w:val="CM129"/>
    <w:basedOn w:val="Default"/>
    <w:next w:val="Default"/>
    <w:uiPriority w:val="99"/>
    <w:rsid w:val="004362B9"/>
    <w:rPr>
      <w:rFonts w:ascii="Arial" w:hAnsi="Arial" w:cs="Arial"/>
      <w:color w:val="auto"/>
    </w:rPr>
  </w:style>
  <w:style w:type="paragraph" w:styleId="Textoindependiente3">
    <w:name w:val="Body Text 3"/>
    <w:basedOn w:val="Normal"/>
    <w:link w:val="Textoindependiente3Car"/>
    <w:uiPriority w:val="99"/>
    <w:semiHidden/>
    <w:unhideWhenUsed/>
    <w:rsid w:val="0019184F"/>
    <w:pPr>
      <w:spacing w:after="120"/>
    </w:pPr>
    <w:rPr>
      <w:sz w:val="16"/>
      <w:szCs w:val="16"/>
    </w:rPr>
  </w:style>
  <w:style w:type="character" w:customStyle="1" w:styleId="Textoindependiente3Car">
    <w:name w:val="Texto independiente 3 Car"/>
    <w:basedOn w:val="Fuentedeprrafopredeter"/>
    <w:link w:val="Textoindependiente3"/>
    <w:uiPriority w:val="99"/>
    <w:semiHidden/>
    <w:rsid w:val="0019184F"/>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5F2FE8D899FE44598E59C76F6535007" ma:contentTypeVersion="3" ma:contentTypeDescription="Create a new document." ma:contentTypeScope="" ma:versionID="62d8dcd489ebc70bbcf5cde3609b20db">
  <xsd:schema xmlns:xsd="http://www.w3.org/2001/XMLSchema" xmlns:xs="http://www.w3.org/2001/XMLSchema" xmlns:p="http://schemas.microsoft.com/office/2006/metadata/properties" xmlns:ns2="9056d983-1374-4724-9f8d-2ef5b64379db" targetNamespace="http://schemas.microsoft.com/office/2006/metadata/properties" ma:root="true" ma:fieldsID="9461a44d26676fe84ef1753ab7a2ce10" ns2:_="">
    <xsd:import namespace="9056d983-1374-4724-9f8d-2ef5b64379db"/>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56d983-1374-4724-9f8d-2ef5b64379d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4A34DDD-8CB1-470A-AFD3-B858422A1C4F}"/>
</file>

<file path=customXml/itemProps2.xml><?xml version="1.0" encoding="utf-8"?>
<ds:datastoreItem xmlns:ds="http://schemas.openxmlformats.org/officeDocument/2006/customXml" ds:itemID="{0DFF0E48-35D5-4BAC-889B-383B8F140AA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6CD7826-EC9E-4AC0-82C0-213E5C0AE05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2</Pages>
  <Words>591</Words>
  <Characters>3094</Characters>
  <Application>Microsoft Office Word</Application>
  <DocSecurity>0</DocSecurity>
  <Lines>81</Lines>
  <Paragraphs>30</Paragraphs>
  <ScaleCrop>false</ScaleCrop>
  <Company/>
  <LinksUpToDate>false</LinksUpToDate>
  <CharactersWithSpaces>3654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Sebastián Durán Méndez</dc:creator>
  <cp:keywords/>
  <dc:description/>
  <cp:lastModifiedBy>Superintendencia Financiera </cp:lastModifiedBy>
  <cp:revision>51</cp:revision>
  <dcterms:created xsi:type="dcterms:W3CDTF">2024-12-23T19:33:00Z</dcterms:created>
  <dcterms:modified xsi:type="dcterms:W3CDTF">2026-04-13T14:48:00Z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0x010100F5F2FE8D899FE44598E59C76F6535007</vt:lpwstr>
  </property>
  <property fmtid="{D5CDD505-2E9C-101B-9397-08002B2CF9AE}" pid="3" name="Order">
    <vt:r8>84400</vt:r8>
  </property>
  <property fmtid="{D5CDD505-2E9C-101B-9397-08002B2CF9AE}" pid="4" name="xd_Signature">
    <vt:bool>false</vt:bool>
  </property>
  <property fmtid="{D5CDD505-2E9C-101B-9397-08002B2CF9AE}" pid="5" name="xd_ProgID">
    <vt:lpwstr/>
  </property>
  <property fmtid="{D5CDD505-2E9C-101B-9397-08002B2CF9AE}" pid="6" name="ComplianceAssetId">
    <vt:lpwstr/>
  </property>
  <property fmtid="{D5CDD505-2E9C-101B-9397-08002B2CF9AE}" pid="7" name="TemplateUrl">
    <vt:lpwstr/>
  </property>
  <property fmtid="{D5CDD505-2E9C-101B-9397-08002B2CF9AE}" pid="8" name="_ExtendedDescription">
    <vt:lpwstr/>
  </property>
  <property fmtid="{D5CDD505-2E9C-101B-9397-08002B2CF9AE}" pid="9" name="TriggerFlowInfo">
    <vt:lpwstr/>
  </property>
  <property fmtid="{D5CDD505-2E9C-101B-9397-08002B2CF9AE}" pid="10" name="docLang">
    <vt:lpwstr>es</vt:lpwstr>
  </property>
</Properties>
</file>